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83" w:rsidRPr="00365FC2" w:rsidRDefault="000A63FA" w:rsidP="00365FC2">
      <w:pPr>
        <w:jc w:val="center"/>
        <w:rPr>
          <w:rFonts w:ascii="仿宋" w:eastAsia="仿宋" w:hAnsi="仿宋" w:cs="仿宋"/>
          <w:b/>
          <w:sz w:val="32"/>
          <w:szCs w:val="32"/>
        </w:rPr>
      </w:pPr>
      <w:r w:rsidRPr="00365FC2">
        <w:rPr>
          <w:rFonts w:ascii="仿宋" w:eastAsia="仿宋" w:hAnsi="仿宋" w:cs="仿宋" w:hint="eastAsia"/>
          <w:b/>
          <w:sz w:val="32"/>
          <w:szCs w:val="32"/>
        </w:rPr>
        <w:t>中国石油大学（北京）</w:t>
      </w:r>
    </w:p>
    <w:p w:rsidR="00BF1F83" w:rsidRPr="00365FC2" w:rsidRDefault="000A63FA" w:rsidP="00365FC2">
      <w:pPr>
        <w:jc w:val="center"/>
        <w:rPr>
          <w:rFonts w:ascii="仿宋" w:eastAsia="仿宋" w:hAnsi="仿宋" w:cs="仿宋"/>
          <w:b/>
          <w:sz w:val="32"/>
          <w:szCs w:val="32"/>
        </w:rPr>
      </w:pPr>
      <w:r w:rsidRPr="00365FC2">
        <w:rPr>
          <w:rFonts w:ascii="仿宋" w:eastAsia="仿宋" w:hAnsi="仿宋" w:cs="仿宋" w:hint="eastAsia"/>
          <w:b/>
          <w:sz w:val="32"/>
          <w:szCs w:val="32"/>
        </w:rPr>
        <w:t>2020年研究生招生考试复试及录取工作应急预案</w:t>
      </w:r>
    </w:p>
    <w:p w:rsidR="00BF1F83" w:rsidRPr="00365FC2" w:rsidRDefault="000A63FA">
      <w:pPr>
        <w:adjustRightInd w:val="0"/>
        <w:snapToGrid w:val="0"/>
        <w:spacing w:beforeLines="50" w:before="156" w:afterLines="50" w:after="156"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根据《关于制定研</w:t>
      </w:r>
      <w:bookmarkStart w:id="0" w:name="_GoBack"/>
      <w:bookmarkEnd w:id="0"/>
      <w:r w:rsidRPr="00365FC2">
        <w:rPr>
          <w:rFonts w:ascii="仿宋" w:eastAsia="仿宋" w:hAnsi="仿宋" w:cstheme="minorBidi" w:hint="eastAsia"/>
          <w:sz w:val="28"/>
          <w:szCs w:val="28"/>
        </w:rPr>
        <w:t>究生招生考试工作预案的通知》（市研招办〔2020〕3号）文件精神，为切实加强研究生考试招生中新型冠状病毒感染肺炎疫情防控工作，有效预防、及时控制和妥善处置我校研究生招生考试（复试）工作中的突发事件，提高快速反应和应急处置能力，确保2020年研究生招生考试（复试）工作平稳、有序进行，特制定本预案。</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一、组织机构</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我校研究生招生考试（复试）工作中的突发事件应急处置由学校研究生招生工作领导小组全面负责，负责统一决策、组织、指挥突发事件的应急响应；学校研究生招生工作小组具体负责突发事件的调查、控制和补救等处置工作，有重大问题的，要及时上报研究生招生工作领导小组。</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二、工作原则</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（一）统一指挥，快速反应。建立处置突发事件的快速反应机制，一旦发生突发事件，确保发现、报告、指挥、处置等环节的紧密衔接，做到快速反应、正确应对、处置果断。</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（二）有效控制、就地解决。坚持把考试（复试）工作突发事件控制在发生地，就地解决，避免扩散；如已扩散，要尽可能控制在最小范围内，避免造成相关工作的混乱和失控。</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（三）预防为主、加强培训。从法规、制度、思想、组织、设备设施等方面加强指导，增强工作能力，提高工作效率。</w:t>
      </w:r>
    </w:p>
    <w:p w:rsidR="00BF1F83" w:rsidRPr="00365FC2" w:rsidRDefault="000A63FA">
      <w:pPr>
        <w:adjustRightInd w:val="0"/>
        <w:snapToGrid w:val="0"/>
        <w:spacing w:beforeLines="50" w:before="156" w:afterLines="50" w:after="156"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（四）保守秘密，遵守纪律。在处置突发事件期间，严格执行和遵守信息保密制度，遵守工作纪律，确保信息安全。</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三、具体应急事件处置办法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（一）考生身份核实</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对存疑的考生，复试小组成员还可以通过询问考生基本信息、家庭成员等多种形式核验考生身份信息。</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（二）疫情防控</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1.学校硕士研究生复试工作领导小组会同学校人事处、保卫处、后勤管理处等部门形成我校复试疫情防控多级联动机制，对学校研究生复试工作进行统筹安排和管理，保障疫情防控工作的周密有效开展。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lastRenderedPageBreak/>
        <w:t>2.各学院研究生复试工作领导小组提前对本学院参加复试工作的教师及工作人员进行深入排查，详细掌握其是否在京、健康状况等动态信息。</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3.学校设立远程复试专用考场及临时隔离室，每日由专人负责对考场及隔离室进行</w:t>
      </w:r>
      <w:r w:rsidRPr="00365FC2">
        <w:rPr>
          <w:rFonts w:ascii="仿宋" w:eastAsia="仿宋" w:hAnsi="仿宋"/>
          <w:sz w:val="28"/>
          <w:szCs w:val="28"/>
        </w:rPr>
        <w:t>清扫、开窗通风及消毒工作</w:t>
      </w:r>
      <w:r w:rsidRPr="00365FC2">
        <w:rPr>
          <w:rFonts w:ascii="仿宋" w:eastAsia="仿宋" w:hAnsi="仿宋" w:hint="eastAsia"/>
          <w:sz w:val="28"/>
          <w:szCs w:val="28"/>
        </w:rPr>
        <w:t>。对无法到校参加复试工作的教师，由学院研究生复试工作领导小组协调其居家远程办公，并指导其安装并使用网络复试软件及工作，确保复试工作正常开展。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4.复试工作进行中如出现可疑症状人员，学校将启动应急处置、隔离、报告、转送、检测、消杀的处置流程。</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（二）网络及软件</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1.学校信息中心负责保证学校网络在复试期间的畅通，保证复试期间专人值守，并及时排查、恢复校园网络阻塞、断网等问题。</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2.各学院复试小组在复试工作开始前，应下载、调试好相应面试软件，同时配备并保证备用面试、录音设备正常可用。远程</w:t>
      </w:r>
      <w:r w:rsidR="00A157E1" w:rsidRPr="00365FC2">
        <w:rPr>
          <w:rFonts w:ascii="仿宋" w:eastAsia="仿宋" w:hAnsi="仿宋" w:hint="eastAsia"/>
          <w:sz w:val="28"/>
          <w:szCs w:val="28"/>
        </w:rPr>
        <w:t>复试过程中，如遇网络阻塞、通信信号不连贯、语音信号不连续等问题，</w:t>
      </w:r>
      <w:r w:rsidRPr="00365FC2">
        <w:rPr>
          <w:rFonts w:ascii="仿宋" w:eastAsia="仿宋" w:hAnsi="仿宋" w:hint="eastAsia"/>
          <w:sz w:val="28"/>
          <w:szCs w:val="28"/>
        </w:rPr>
        <w:t>2分钟（含）内处理完毕的，可顺延复试时间，超出2分钟并在5分钟（含）解决的，需重新抽题，考试时间顺延，超出5分钟的，需要重新安排考生的复试。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3.各学院复试小组要准确、详细记录复试形式、时间及突发状况与解决方案，复试结束后报学院（研究院）招生工作领导小组及研招办。</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（三）兜底保障工作</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学校及各学院研究生招生工作领导小组于复试前组织开展对考生远程复试的摸排调研，形成“一对一”“点对点”联系，并对远程复试有困难的考生建立“一人一案”的工作方案，必要时可由学校报北京教育考试院，并联系生源所在地具有组织硕士招生考试资格的院校或机构提供场地和技术支持。</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对因网络、设备故障或尚在治疗或隔离期而无法正常进行远程复试的考生，学校研究生复试工作领导小组将根据具体情况及需要择期组织二次复试，复试要求、流程环节与打分和录取标准与正常复试工作应保持一致。</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（四）保密工作</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为保证复试试题的信度、效度及保密安全，远程面试及线上笔试考核试题应提高试题内容及形式的综合性和开放性。降低试题重复性，扩充题库数量，丰富面试考核的内容和形式，确保同一专业的考生考核内容不重复，复试小组不对考生作答做出现场点评。所有参与命题人员（包括工作人员）签订保密责任书，严格遵守保密纪律，否则按国家相关法律法规予以处理。</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lastRenderedPageBreak/>
        <w:t>2.远程复试开始前，由复试小组向考生发布或宣读保密责任书，提示考生远程复试内容为国家考试涉密内容，个人不得将考试内容录制、截图、上传至网络，造成泄密事件的，将依法依规追究当事人相应法律责任。考生在复试开始前应签订相应的《保密责任书》。如遇考生将远程复试的视频、录音截屏、截图至网络，以要求第三方机构或专家评判，造成考试网络舆情的，学校硕士研究生复试工作领导小组应立即对舆情进行研判，针对舆情内容给出书面报告和声明，并报北京教育考试院情况说明，及时处理网络舆情事件。</w:t>
      </w:r>
    </w:p>
    <w:p w:rsidR="00BF1F83" w:rsidRPr="00365FC2" w:rsidRDefault="00BF1F83">
      <w:pPr>
        <w:adjustRightInd w:val="0"/>
        <w:snapToGrid w:val="0"/>
        <w:spacing w:line="240" w:lineRule="atLeast"/>
        <w:ind w:firstLineChars="200" w:firstLine="560"/>
        <w:jc w:val="right"/>
        <w:rPr>
          <w:rFonts w:ascii="仿宋" w:eastAsia="仿宋" w:hAnsi="仿宋" w:cs="华文仿宋"/>
          <w:sz w:val="28"/>
          <w:szCs w:val="28"/>
        </w:rPr>
      </w:pPr>
    </w:p>
    <w:p w:rsidR="00BF1F83" w:rsidRPr="00365FC2" w:rsidRDefault="000A63FA">
      <w:pPr>
        <w:adjustRightInd w:val="0"/>
        <w:snapToGrid w:val="0"/>
        <w:spacing w:line="240" w:lineRule="atLeast"/>
        <w:ind w:firstLineChars="200" w:firstLine="560"/>
        <w:jc w:val="right"/>
        <w:rPr>
          <w:rFonts w:ascii="仿宋" w:eastAsia="仿宋" w:hAnsi="仿宋" w:cs="华文仿宋"/>
          <w:sz w:val="28"/>
          <w:szCs w:val="28"/>
        </w:rPr>
      </w:pPr>
      <w:r w:rsidRPr="00365FC2">
        <w:rPr>
          <w:rFonts w:ascii="仿宋" w:eastAsia="仿宋" w:hAnsi="仿宋" w:cs="华文仿宋" w:hint="eastAsia"/>
          <w:sz w:val="28"/>
          <w:szCs w:val="28"/>
        </w:rPr>
        <w:t>中国石油大学（北京）</w:t>
      </w:r>
    </w:p>
    <w:p w:rsidR="00BF1F83" w:rsidRPr="00365FC2" w:rsidRDefault="000A63FA">
      <w:pPr>
        <w:adjustRightInd w:val="0"/>
        <w:snapToGrid w:val="0"/>
        <w:spacing w:line="240" w:lineRule="atLeast"/>
        <w:ind w:firstLineChars="200" w:firstLine="560"/>
        <w:jc w:val="right"/>
        <w:rPr>
          <w:rFonts w:ascii="仿宋" w:eastAsia="仿宋" w:hAnsi="仿宋" w:cs="华文仿宋"/>
          <w:sz w:val="28"/>
          <w:szCs w:val="28"/>
        </w:rPr>
      </w:pPr>
      <w:r w:rsidRPr="00365FC2">
        <w:rPr>
          <w:rFonts w:ascii="仿宋" w:eastAsia="仿宋" w:hAnsi="仿宋" w:cs="华文仿宋"/>
          <w:sz w:val="28"/>
          <w:szCs w:val="28"/>
        </w:rPr>
        <w:t xml:space="preserve">                </w:t>
      </w:r>
      <w:r w:rsidRPr="00365FC2">
        <w:rPr>
          <w:rFonts w:ascii="仿宋" w:eastAsia="仿宋" w:hAnsi="仿宋" w:cs="华文仿宋" w:hint="eastAsia"/>
          <w:sz w:val="28"/>
          <w:szCs w:val="28"/>
        </w:rPr>
        <w:t>2</w:t>
      </w:r>
      <w:r w:rsidRPr="00365FC2">
        <w:rPr>
          <w:rFonts w:ascii="仿宋" w:eastAsia="仿宋" w:hAnsi="仿宋" w:cs="华文仿宋"/>
          <w:sz w:val="28"/>
          <w:szCs w:val="28"/>
        </w:rPr>
        <w:t>020</w:t>
      </w:r>
      <w:r w:rsidRPr="00365FC2">
        <w:rPr>
          <w:rFonts w:ascii="仿宋" w:eastAsia="仿宋" w:hAnsi="仿宋" w:cs="华文仿宋" w:hint="eastAsia"/>
          <w:sz w:val="28"/>
          <w:szCs w:val="28"/>
        </w:rPr>
        <w:t>年</w:t>
      </w:r>
      <w:r w:rsidR="009B51B9" w:rsidRPr="00365FC2">
        <w:rPr>
          <w:rFonts w:ascii="仿宋" w:eastAsia="仿宋" w:hAnsi="仿宋" w:cs="华文仿宋"/>
          <w:sz w:val="28"/>
          <w:szCs w:val="28"/>
        </w:rPr>
        <w:t>5</w:t>
      </w:r>
      <w:r w:rsidRPr="00365FC2">
        <w:rPr>
          <w:rFonts w:ascii="仿宋" w:eastAsia="仿宋" w:hAnsi="仿宋" w:cs="华文仿宋" w:hint="eastAsia"/>
          <w:sz w:val="28"/>
          <w:szCs w:val="28"/>
        </w:rPr>
        <w:t>月</w:t>
      </w:r>
      <w:r w:rsidR="009B51B9" w:rsidRPr="00365FC2">
        <w:rPr>
          <w:rFonts w:ascii="仿宋" w:eastAsia="仿宋" w:hAnsi="仿宋" w:cs="华文仿宋"/>
          <w:sz w:val="28"/>
          <w:szCs w:val="28"/>
        </w:rPr>
        <w:t>6</w:t>
      </w:r>
      <w:r w:rsidRPr="00365FC2">
        <w:rPr>
          <w:rFonts w:ascii="仿宋" w:eastAsia="仿宋" w:hAnsi="仿宋" w:cs="华文仿宋" w:hint="eastAsia"/>
          <w:sz w:val="28"/>
          <w:szCs w:val="28"/>
        </w:rPr>
        <w:t>日</w:t>
      </w:r>
    </w:p>
    <w:p w:rsidR="00BF1F83" w:rsidRPr="00365FC2" w:rsidRDefault="00BF1F83">
      <w:pPr>
        <w:adjustRightInd w:val="0"/>
        <w:snapToGrid w:val="0"/>
        <w:spacing w:line="240" w:lineRule="atLeast"/>
        <w:ind w:firstLineChars="200" w:firstLine="560"/>
        <w:jc w:val="right"/>
        <w:rPr>
          <w:rFonts w:ascii="仿宋" w:eastAsia="仿宋" w:hAnsi="仿宋" w:cstheme="minorBidi"/>
          <w:sz w:val="28"/>
          <w:szCs w:val="28"/>
        </w:rPr>
      </w:pPr>
    </w:p>
    <w:p w:rsidR="00BF1F83" w:rsidRDefault="00BF1F83">
      <w:pPr>
        <w:adjustRightInd w:val="0"/>
        <w:snapToGrid w:val="0"/>
        <w:spacing w:line="240" w:lineRule="atLeast"/>
        <w:ind w:firstLineChars="200" w:firstLine="640"/>
        <w:rPr>
          <w:rFonts w:ascii="仿宋_GB2312" w:eastAsia="仿宋_GB2312" w:hAnsiTheme="minorHAnsi" w:cstheme="minorBidi"/>
          <w:sz w:val="32"/>
          <w:szCs w:val="32"/>
        </w:rPr>
      </w:pPr>
    </w:p>
    <w:sectPr w:rsidR="00BF1F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FA" w:rsidRDefault="000A63FA" w:rsidP="000A63FA">
      <w:r>
        <w:separator/>
      </w:r>
    </w:p>
  </w:endnote>
  <w:endnote w:type="continuationSeparator" w:id="0">
    <w:p w:rsidR="000A63FA" w:rsidRDefault="000A63FA" w:rsidP="000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FA" w:rsidRDefault="000A63FA" w:rsidP="000A63FA">
      <w:r>
        <w:separator/>
      </w:r>
    </w:p>
  </w:footnote>
  <w:footnote w:type="continuationSeparator" w:id="0">
    <w:p w:rsidR="000A63FA" w:rsidRDefault="000A63FA" w:rsidP="000A6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69"/>
    <w:rsid w:val="000541BF"/>
    <w:rsid w:val="000A63FA"/>
    <w:rsid w:val="0011427B"/>
    <w:rsid w:val="001F4129"/>
    <w:rsid w:val="00336743"/>
    <w:rsid w:val="00354F09"/>
    <w:rsid w:val="00355448"/>
    <w:rsid w:val="00365FC2"/>
    <w:rsid w:val="003D272C"/>
    <w:rsid w:val="003F52F5"/>
    <w:rsid w:val="00961020"/>
    <w:rsid w:val="00970C63"/>
    <w:rsid w:val="009B51B9"/>
    <w:rsid w:val="00A157E1"/>
    <w:rsid w:val="00AB761B"/>
    <w:rsid w:val="00AF2441"/>
    <w:rsid w:val="00B828C3"/>
    <w:rsid w:val="00BF1F83"/>
    <w:rsid w:val="00C47C7D"/>
    <w:rsid w:val="00D800E6"/>
    <w:rsid w:val="00DE6163"/>
    <w:rsid w:val="00E21F16"/>
    <w:rsid w:val="00E32E33"/>
    <w:rsid w:val="00E41569"/>
    <w:rsid w:val="00EB511E"/>
    <w:rsid w:val="00F3718A"/>
    <w:rsid w:val="00F40E46"/>
    <w:rsid w:val="2C7C50F3"/>
    <w:rsid w:val="56094FAD"/>
    <w:rsid w:val="7C11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8E4C5"/>
  <w15:docId w15:val="{49F8104D-0E35-4A44-A8E5-402DE9B3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kinggong</dc:creator>
  <cp:lastModifiedBy>08</cp:lastModifiedBy>
  <cp:revision>8</cp:revision>
  <dcterms:created xsi:type="dcterms:W3CDTF">2020-04-28T03:27:00Z</dcterms:created>
  <dcterms:modified xsi:type="dcterms:W3CDTF">2020-05-06T08:27:00Z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