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E4" w:rsidRPr="007A26D1" w:rsidRDefault="00944B10" w:rsidP="00A9491B">
      <w:pPr>
        <w:pStyle w:val="2"/>
      </w:pPr>
      <w:bookmarkStart w:id="0" w:name="_Toc147316458"/>
      <w:bookmarkStart w:id="1" w:name="_Toc336264123"/>
      <w:r w:rsidRPr="007A26D1">
        <w:t>中国石油大学（北京）</w:t>
      </w:r>
    </w:p>
    <w:p w:rsidR="00944B10" w:rsidRPr="007A26D1" w:rsidRDefault="008E61E4" w:rsidP="00A9491B">
      <w:pPr>
        <w:pStyle w:val="2"/>
      </w:pPr>
      <w:r w:rsidRPr="007A26D1">
        <w:rPr>
          <w:rFonts w:hint="eastAsia"/>
        </w:rPr>
        <w:t>信息</w:t>
      </w:r>
      <w:r w:rsidR="00426EC4" w:rsidRPr="007A26D1">
        <w:rPr>
          <w:rFonts w:hint="eastAsia"/>
        </w:rPr>
        <w:t>科学与</w:t>
      </w:r>
      <w:r w:rsidRPr="007A26D1">
        <w:rPr>
          <w:rFonts w:hint="eastAsia"/>
        </w:rPr>
        <w:t>工程学院</w:t>
      </w:r>
      <w:r w:rsidR="009A01D2" w:rsidRPr="007A26D1">
        <w:rPr>
          <w:rFonts w:hint="eastAsia"/>
        </w:rPr>
        <w:t>本科</w:t>
      </w:r>
      <w:r w:rsidR="00944B10" w:rsidRPr="007A26D1">
        <w:t>品牌课评估</w:t>
      </w:r>
      <w:r w:rsidR="00B2295E" w:rsidRPr="007A26D1">
        <w:rPr>
          <w:rFonts w:hint="eastAsia"/>
        </w:rPr>
        <w:t>管理</w:t>
      </w:r>
      <w:r w:rsidR="00944B10" w:rsidRPr="007A26D1">
        <w:t>办法</w:t>
      </w:r>
      <w:bookmarkEnd w:id="0"/>
      <w:bookmarkEnd w:id="1"/>
      <w:r w:rsidR="007A26D1" w:rsidRPr="007A26D1">
        <w:rPr>
          <w:rFonts w:hint="eastAsia"/>
        </w:rPr>
        <w:t>（修订）</w:t>
      </w:r>
    </w:p>
    <w:p w:rsidR="00944B10" w:rsidRPr="007A26D1" w:rsidRDefault="00944B10" w:rsidP="00AA6A46">
      <w:pPr>
        <w:pStyle w:val="a3"/>
        <w:spacing w:before="120" w:beforeAutospacing="0" w:after="120" w:afterAutospacing="0" w:line="360" w:lineRule="auto"/>
        <w:jc w:val="center"/>
        <w:rPr>
          <w:rFonts w:ascii="宋体" w:eastAsia="宋体" w:hAnsi="宋体"/>
          <w:color w:val="auto"/>
        </w:rPr>
      </w:pPr>
    </w:p>
    <w:p w:rsidR="0053499F" w:rsidRPr="007A26D1" w:rsidRDefault="00D14855"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为</w:t>
      </w:r>
      <w:r w:rsidR="00D31A95" w:rsidRPr="007A26D1">
        <w:rPr>
          <w:rFonts w:ascii="宋体" w:eastAsia="宋体" w:hAnsi="宋体" w:hint="eastAsia"/>
          <w:color w:val="auto"/>
        </w:rPr>
        <w:t>深入贯彻落实《中国石油大学（北京）提高本科教学质量的十条措施》</w:t>
      </w:r>
      <w:r w:rsidR="006B0131" w:rsidRPr="007A26D1">
        <w:rPr>
          <w:rFonts w:ascii="宋体" w:eastAsia="宋体" w:hAnsi="宋体" w:hint="eastAsia"/>
          <w:color w:val="auto"/>
        </w:rPr>
        <w:t>等</w:t>
      </w:r>
      <w:r w:rsidR="00D31A95" w:rsidRPr="007A26D1">
        <w:rPr>
          <w:rFonts w:ascii="宋体" w:eastAsia="宋体" w:hAnsi="宋体" w:hint="eastAsia"/>
          <w:color w:val="auto"/>
        </w:rPr>
        <w:t>文件精神，</w:t>
      </w:r>
      <w:r w:rsidRPr="007A26D1">
        <w:rPr>
          <w:rFonts w:ascii="宋体" w:eastAsia="宋体" w:hAnsi="宋体" w:hint="eastAsia"/>
          <w:color w:val="auto"/>
        </w:rPr>
        <w:t>鼓励教师积极</w:t>
      </w:r>
      <w:r w:rsidR="0070326A" w:rsidRPr="007A26D1">
        <w:rPr>
          <w:rFonts w:ascii="宋体" w:eastAsia="宋体" w:hAnsi="宋体" w:hint="eastAsia"/>
          <w:color w:val="auto"/>
        </w:rPr>
        <w:t>更新教学观念、</w:t>
      </w:r>
      <w:r w:rsidRPr="007A26D1">
        <w:rPr>
          <w:rFonts w:ascii="宋体" w:eastAsia="宋体" w:hAnsi="宋体" w:hint="eastAsia"/>
          <w:color w:val="auto"/>
        </w:rPr>
        <w:t>钻研教学方法</w:t>
      </w:r>
      <w:r w:rsidR="0070326A" w:rsidRPr="007A26D1">
        <w:rPr>
          <w:rFonts w:ascii="宋体" w:eastAsia="宋体" w:hAnsi="宋体" w:hint="eastAsia"/>
          <w:color w:val="auto"/>
        </w:rPr>
        <w:t>和</w:t>
      </w:r>
      <w:r w:rsidRPr="007A26D1">
        <w:rPr>
          <w:rFonts w:ascii="宋体" w:eastAsia="宋体" w:hAnsi="宋体" w:hint="eastAsia"/>
          <w:color w:val="auto"/>
        </w:rPr>
        <w:t>教学手段，提高课堂教学质量，发挥品牌课的示范引领作用，</w:t>
      </w:r>
      <w:r w:rsidR="004D0AB9" w:rsidRPr="007A26D1">
        <w:rPr>
          <w:rFonts w:ascii="宋体" w:eastAsia="宋体" w:hAnsi="宋体" w:hint="eastAsia"/>
          <w:color w:val="auto"/>
        </w:rPr>
        <w:t>学校决定在原品牌课评估的基础上，进一步构建</w:t>
      </w:r>
      <w:r w:rsidRPr="007A26D1">
        <w:rPr>
          <w:rFonts w:ascii="宋体" w:eastAsia="宋体" w:hAnsi="宋体" w:hint="eastAsia"/>
          <w:color w:val="auto"/>
        </w:rPr>
        <w:t>校、院两级本科品牌课评估体系</w:t>
      </w:r>
      <w:r w:rsidR="008E61E4" w:rsidRPr="007A26D1">
        <w:rPr>
          <w:rFonts w:ascii="宋体" w:eastAsia="宋体" w:hAnsi="宋体" w:hint="eastAsia"/>
          <w:color w:val="auto"/>
        </w:rPr>
        <w:t>。根据此决定，</w:t>
      </w:r>
      <w:r w:rsidR="004D0AB9" w:rsidRPr="007A26D1">
        <w:rPr>
          <w:rFonts w:ascii="宋体" w:eastAsia="宋体" w:hAnsi="宋体" w:hint="eastAsia"/>
          <w:color w:val="auto"/>
        </w:rPr>
        <w:t>特制定本办法。</w:t>
      </w:r>
    </w:p>
    <w:p w:rsidR="0053499F" w:rsidRPr="007A26D1" w:rsidRDefault="00B2295E"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品牌课</w:t>
      </w:r>
      <w:r w:rsidR="004D0AB9" w:rsidRPr="007A26D1">
        <w:rPr>
          <w:rFonts w:ascii="宋体" w:eastAsia="宋体" w:hAnsi="宋体" w:hint="eastAsia"/>
          <w:color w:val="auto"/>
        </w:rPr>
        <w:t>是通过本办法规定程序、由院教学专家组评选</w:t>
      </w:r>
      <w:r w:rsidR="00777D46" w:rsidRPr="007A26D1">
        <w:rPr>
          <w:rFonts w:ascii="宋体" w:eastAsia="宋体" w:hAnsi="宋体" w:hint="eastAsia"/>
          <w:color w:val="auto"/>
        </w:rPr>
        <w:t>，并向学校</w:t>
      </w:r>
      <w:r w:rsidR="006B0131" w:rsidRPr="007A26D1">
        <w:rPr>
          <w:rFonts w:ascii="宋体" w:eastAsia="宋体" w:hAnsi="宋体" w:hint="eastAsia"/>
          <w:color w:val="auto"/>
        </w:rPr>
        <w:t>推荐、校长办公会审</w:t>
      </w:r>
      <w:r w:rsidR="0070326A" w:rsidRPr="007A26D1">
        <w:rPr>
          <w:rFonts w:ascii="宋体" w:eastAsia="宋体" w:hAnsi="宋体" w:hint="eastAsia"/>
          <w:color w:val="auto"/>
        </w:rPr>
        <w:t>定</w:t>
      </w:r>
      <w:r w:rsidR="006B0131" w:rsidRPr="007A26D1">
        <w:rPr>
          <w:rFonts w:ascii="宋体" w:eastAsia="宋体" w:hAnsi="宋体" w:hint="eastAsia"/>
          <w:color w:val="auto"/>
        </w:rPr>
        <w:t>、由</w:t>
      </w:r>
      <w:r w:rsidR="00D31A95" w:rsidRPr="007A26D1">
        <w:rPr>
          <w:rFonts w:ascii="宋体" w:eastAsia="宋体" w:hAnsi="宋体" w:hint="eastAsia"/>
          <w:color w:val="auto"/>
        </w:rPr>
        <w:t>特定</w:t>
      </w:r>
      <w:r w:rsidR="006B0131" w:rsidRPr="007A26D1">
        <w:rPr>
          <w:rFonts w:ascii="宋体" w:eastAsia="宋体" w:hAnsi="宋体" w:hint="eastAsia"/>
          <w:color w:val="auto"/>
        </w:rPr>
        <w:t>教师</w:t>
      </w:r>
      <w:r w:rsidR="00D31A95" w:rsidRPr="007A26D1">
        <w:rPr>
          <w:rFonts w:ascii="宋体" w:eastAsia="宋体" w:hAnsi="宋体" w:hint="eastAsia"/>
          <w:color w:val="auto"/>
        </w:rPr>
        <w:t>讲授的特定课程</w:t>
      </w:r>
      <w:r w:rsidR="004D0AB9" w:rsidRPr="007A26D1">
        <w:rPr>
          <w:rFonts w:ascii="宋体" w:eastAsia="宋体" w:hAnsi="宋体" w:hint="eastAsia"/>
          <w:color w:val="auto"/>
        </w:rPr>
        <w:t xml:space="preserve">。 </w:t>
      </w:r>
    </w:p>
    <w:p w:rsidR="002F7CF9" w:rsidRPr="007A26D1" w:rsidRDefault="00777D46" w:rsidP="002F7CF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院</w:t>
      </w:r>
      <w:r w:rsidR="00850FE9" w:rsidRPr="007A26D1">
        <w:rPr>
          <w:rFonts w:ascii="宋体" w:eastAsia="宋体" w:hAnsi="宋体" w:hint="eastAsia"/>
          <w:color w:val="auto"/>
        </w:rPr>
        <w:t>本科教学专家组负责制定</w:t>
      </w:r>
      <w:r w:rsidRPr="007A26D1">
        <w:rPr>
          <w:rFonts w:ascii="宋体" w:eastAsia="宋体" w:hAnsi="宋体" w:hint="eastAsia"/>
          <w:color w:val="auto"/>
        </w:rPr>
        <w:t>院</w:t>
      </w:r>
      <w:r w:rsidR="00762AC3" w:rsidRPr="007A26D1">
        <w:rPr>
          <w:rFonts w:ascii="宋体" w:eastAsia="宋体" w:hAnsi="宋体" w:hint="eastAsia"/>
          <w:color w:val="auto"/>
        </w:rPr>
        <w:t>级</w:t>
      </w:r>
      <w:r w:rsidR="00850FE9" w:rsidRPr="007A26D1">
        <w:rPr>
          <w:rFonts w:ascii="宋体" w:eastAsia="宋体" w:hAnsi="宋体"/>
          <w:color w:val="auto"/>
        </w:rPr>
        <w:t>《品牌课程评估指标体系》</w:t>
      </w:r>
      <w:r w:rsidR="00850FE9" w:rsidRPr="007A26D1">
        <w:rPr>
          <w:rFonts w:ascii="宋体" w:eastAsia="宋体" w:hAnsi="宋体" w:hint="eastAsia"/>
          <w:color w:val="auto"/>
        </w:rPr>
        <w:t>（下简称《指标体系》）</w:t>
      </w:r>
      <w:r w:rsidR="00762AC3" w:rsidRPr="007A26D1">
        <w:rPr>
          <w:rFonts w:ascii="宋体" w:eastAsia="宋体" w:hAnsi="宋体" w:hint="eastAsia"/>
          <w:color w:val="auto"/>
        </w:rPr>
        <w:t>，评选、推荐</w:t>
      </w:r>
      <w:r w:rsidR="00850FE9" w:rsidRPr="007A26D1">
        <w:rPr>
          <w:rFonts w:ascii="宋体" w:eastAsia="宋体" w:hAnsi="宋体" w:hint="eastAsia"/>
          <w:color w:val="auto"/>
        </w:rPr>
        <w:t>院级品牌课。</w:t>
      </w:r>
    </w:p>
    <w:p w:rsidR="0053499F" w:rsidRPr="007A26D1" w:rsidRDefault="00850FE9" w:rsidP="002F7CF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参选品牌课的课程需达到以下基本条件：授课教师具有五年以上讲授参选课程的经历；</w:t>
      </w:r>
      <w:r w:rsidR="005F6A6C" w:rsidRPr="007A26D1">
        <w:rPr>
          <w:rFonts w:ascii="宋体" w:eastAsia="宋体" w:hAnsi="宋体" w:hint="eastAsia"/>
          <w:color w:val="auto"/>
        </w:rPr>
        <w:t>参选</w:t>
      </w:r>
      <w:r w:rsidRPr="007A26D1">
        <w:rPr>
          <w:rFonts w:ascii="宋体" w:eastAsia="宋体" w:hAnsi="宋体" w:hint="eastAsia"/>
          <w:color w:val="auto"/>
        </w:rPr>
        <w:t>课程建立了网络课程</w:t>
      </w:r>
      <w:r w:rsidR="00762AC3" w:rsidRPr="007A26D1">
        <w:rPr>
          <w:rFonts w:ascii="宋体" w:eastAsia="宋体" w:hAnsi="宋体" w:hint="eastAsia"/>
          <w:color w:val="auto"/>
        </w:rPr>
        <w:t>教学</w:t>
      </w:r>
      <w:r w:rsidRPr="007A26D1">
        <w:rPr>
          <w:rFonts w:ascii="宋体" w:eastAsia="宋体" w:hAnsi="宋体" w:hint="eastAsia"/>
          <w:color w:val="auto"/>
        </w:rPr>
        <w:t>平台</w:t>
      </w:r>
      <w:r w:rsidR="004E229C" w:rsidRPr="007A26D1">
        <w:rPr>
          <w:rFonts w:ascii="宋体" w:eastAsia="宋体" w:hAnsi="宋体" w:hint="eastAsia"/>
          <w:color w:val="auto"/>
        </w:rPr>
        <w:t>，并得到有效运行</w:t>
      </w:r>
      <w:r w:rsidRPr="007A26D1">
        <w:rPr>
          <w:rFonts w:ascii="宋体" w:eastAsia="宋体" w:hAnsi="宋体" w:hint="eastAsia"/>
          <w:color w:val="auto"/>
        </w:rPr>
        <w:t>；参选教师参加了相关的教学团队；参选课程当年</w:t>
      </w:r>
      <w:r w:rsidR="006B0131" w:rsidRPr="007A26D1">
        <w:rPr>
          <w:rFonts w:ascii="宋体" w:eastAsia="宋体" w:hAnsi="宋体" w:hint="eastAsia"/>
          <w:color w:val="auto"/>
        </w:rPr>
        <w:t>选课</w:t>
      </w:r>
      <w:r w:rsidRPr="007A26D1">
        <w:rPr>
          <w:rFonts w:ascii="宋体" w:eastAsia="宋体" w:hAnsi="宋体" w:hint="eastAsia"/>
          <w:color w:val="auto"/>
        </w:rPr>
        <w:t>学生人数不少于</w:t>
      </w:r>
      <w:r w:rsidRPr="007A26D1">
        <w:rPr>
          <w:rFonts w:ascii="宋体" w:eastAsia="宋体" w:hAnsi="宋体"/>
          <w:color w:val="auto"/>
        </w:rPr>
        <w:t>20人</w:t>
      </w:r>
      <w:r w:rsidR="00F3433A" w:rsidRPr="007A26D1">
        <w:rPr>
          <w:rFonts w:ascii="宋体" w:eastAsia="宋体" w:hAnsi="宋体" w:hint="eastAsia"/>
          <w:color w:val="auto"/>
        </w:rPr>
        <w:t>；</w:t>
      </w:r>
      <w:r w:rsidRPr="007A26D1">
        <w:rPr>
          <w:rFonts w:ascii="宋体" w:eastAsia="宋体" w:hAnsi="宋体"/>
          <w:color w:val="auto"/>
        </w:rPr>
        <w:t>近五年内</w:t>
      </w:r>
      <w:r w:rsidRPr="007A26D1">
        <w:rPr>
          <w:rFonts w:ascii="宋体" w:eastAsia="宋体" w:hAnsi="宋体" w:hint="eastAsia"/>
          <w:color w:val="auto"/>
        </w:rPr>
        <w:t>至少</w:t>
      </w:r>
      <w:r w:rsidRPr="007A26D1">
        <w:rPr>
          <w:rFonts w:ascii="宋体" w:eastAsia="宋体" w:hAnsi="宋体"/>
          <w:color w:val="auto"/>
        </w:rPr>
        <w:t>三次独立讲授</w:t>
      </w:r>
      <w:r w:rsidRPr="007A26D1">
        <w:rPr>
          <w:rFonts w:ascii="宋体" w:eastAsia="宋体" w:hAnsi="宋体" w:hint="eastAsia"/>
          <w:color w:val="auto"/>
        </w:rPr>
        <w:t>参选课程；</w:t>
      </w:r>
      <w:r w:rsidR="005F7CB5" w:rsidRPr="007A26D1">
        <w:rPr>
          <w:rFonts w:ascii="宋体" w:eastAsia="宋体" w:hAnsi="宋体" w:hint="eastAsia"/>
          <w:color w:val="auto"/>
        </w:rPr>
        <w:t>参选</w:t>
      </w:r>
      <w:r w:rsidR="006B0131" w:rsidRPr="007A26D1">
        <w:rPr>
          <w:rFonts w:ascii="宋体" w:eastAsia="宋体" w:hAnsi="宋体" w:hint="eastAsia"/>
          <w:color w:val="auto"/>
        </w:rPr>
        <w:t>的</w:t>
      </w:r>
      <w:r w:rsidR="005F7CB5" w:rsidRPr="007A26D1">
        <w:rPr>
          <w:rFonts w:ascii="宋体" w:eastAsia="宋体" w:hAnsi="宋体" w:hint="eastAsia"/>
          <w:color w:val="auto"/>
        </w:rPr>
        <w:t>课程</w:t>
      </w:r>
      <w:r w:rsidR="005F6A6C" w:rsidRPr="007A26D1">
        <w:rPr>
          <w:rFonts w:ascii="宋体" w:eastAsia="宋体" w:hAnsi="宋体" w:hint="eastAsia"/>
          <w:color w:val="auto"/>
        </w:rPr>
        <w:t>应</w:t>
      </w:r>
      <w:r w:rsidR="005F7CB5" w:rsidRPr="007A26D1">
        <w:rPr>
          <w:rFonts w:ascii="宋体" w:eastAsia="宋体" w:hAnsi="宋体" w:hint="eastAsia"/>
          <w:color w:val="auto"/>
        </w:rPr>
        <w:t>获得学校颁发的</w:t>
      </w:r>
      <w:r w:rsidR="005F6A6C" w:rsidRPr="007A26D1">
        <w:rPr>
          <w:rFonts w:ascii="宋体" w:eastAsia="宋体" w:hAnsi="宋体" w:hint="eastAsia"/>
          <w:color w:val="auto"/>
        </w:rPr>
        <w:t>合格课</w:t>
      </w:r>
      <w:r w:rsidR="005F7CB5" w:rsidRPr="007A26D1">
        <w:rPr>
          <w:rFonts w:ascii="宋体" w:eastAsia="宋体" w:hAnsi="宋体" w:hint="eastAsia"/>
          <w:color w:val="auto"/>
        </w:rPr>
        <w:t>证书</w:t>
      </w:r>
      <w:r w:rsidRPr="007A26D1">
        <w:rPr>
          <w:rFonts w:ascii="宋体" w:eastAsia="宋体" w:hAnsi="宋体" w:hint="eastAsia"/>
          <w:color w:val="auto"/>
        </w:rPr>
        <w:t>。</w:t>
      </w:r>
    </w:p>
    <w:p w:rsidR="0053499F" w:rsidRPr="007A26D1" w:rsidRDefault="00196771"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院级品牌课每年组织</w:t>
      </w:r>
      <w:r w:rsidR="00777D46" w:rsidRPr="007A26D1">
        <w:rPr>
          <w:rFonts w:ascii="宋体" w:eastAsia="宋体" w:hAnsi="宋体" w:hint="eastAsia"/>
          <w:color w:val="auto"/>
        </w:rPr>
        <w:t>评选一次</w:t>
      </w:r>
      <w:r w:rsidR="00850FE9" w:rsidRPr="007A26D1">
        <w:rPr>
          <w:rFonts w:ascii="宋体" w:eastAsia="宋体" w:hAnsi="宋体" w:hint="eastAsia"/>
          <w:color w:val="auto"/>
        </w:rPr>
        <w:t>。</w:t>
      </w:r>
    </w:p>
    <w:p w:rsidR="0053499F" w:rsidRPr="007A26D1" w:rsidRDefault="005F7CB5"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参选</w:t>
      </w:r>
      <w:r w:rsidR="00777D46" w:rsidRPr="007A26D1">
        <w:rPr>
          <w:rFonts w:ascii="宋体" w:eastAsia="宋体" w:hAnsi="宋体" w:hint="eastAsia"/>
          <w:color w:val="auto"/>
        </w:rPr>
        <w:t>院</w:t>
      </w:r>
      <w:r w:rsidRPr="007A26D1">
        <w:rPr>
          <w:rFonts w:ascii="宋体" w:eastAsia="宋体" w:hAnsi="宋体" w:hint="eastAsia"/>
          <w:color w:val="auto"/>
        </w:rPr>
        <w:t>级品牌课</w:t>
      </w:r>
      <w:r w:rsidR="00060831" w:rsidRPr="007A26D1">
        <w:rPr>
          <w:rFonts w:ascii="宋体" w:eastAsia="宋体" w:hAnsi="宋体" w:hint="eastAsia"/>
          <w:color w:val="auto"/>
        </w:rPr>
        <w:t>的教师应</w:t>
      </w:r>
      <w:r w:rsidR="00850FE9" w:rsidRPr="007A26D1">
        <w:rPr>
          <w:rFonts w:ascii="宋体" w:eastAsia="宋体" w:hAnsi="宋体"/>
          <w:color w:val="auto"/>
        </w:rPr>
        <w:t>填写申报表</w:t>
      </w:r>
      <w:r w:rsidR="00850FE9" w:rsidRPr="007A26D1">
        <w:rPr>
          <w:rFonts w:ascii="宋体" w:eastAsia="宋体" w:hAnsi="宋体" w:hint="eastAsia"/>
          <w:color w:val="auto"/>
        </w:rPr>
        <w:t>并</w:t>
      </w:r>
      <w:r w:rsidR="00850FE9" w:rsidRPr="007A26D1">
        <w:rPr>
          <w:rFonts w:ascii="宋体" w:eastAsia="宋体" w:hAnsi="宋体"/>
          <w:color w:val="auto"/>
        </w:rPr>
        <w:t>进行自评，</w:t>
      </w:r>
      <w:r w:rsidR="00B469E8" w:rsidRPr="007A26D1">
        <w:rPr>
          <w:rFonts w:ascii="宋体" w:eastAsia="宋体" w:hAnsi="宋体" w:hint="eastAsia"/>
          <w:color w:val="auto"/>
        </w:rPr>
        <w:t>院</w:t>
      </w:r>
      <w:r w:rsidR="00850FE9" w:rsidRPr="007A26D1">
        <w:rPr>
          <w:rFonts w:ascii="宋体" w:eastAsia="宋体" w:hAnsi="宋体" w:hint="eastAsia"/>
          <w:color w:val="auto"/>
        </w:rPr>
        <w:t>教学专家组对参选品牌课进行初选后确定进入最终参评课程名单。</w:t>
      </w:r>
      <w:r w:rsidR="00D62F88" w:rsidRPr="007A26D1">
        <w:rPr>
          <w:rFonts w:ascii="宋体" w:eastAsia="宋体" w:hAnsi="宋体" w:hint="eastAsia"/>
          <w:color w:val="auto"/>
        </w:rPr>
        <w:t>每年参评院品牌课不超过3门。</w:t>
      </w:r>
    </w:p>
    <w:p w:rsidR="0053499F" w:rsidRPr="007A26D1" w:rsidRDefault="00850FE9"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原则上</w:t>
      </w:r>
      <w:r w:rsidR="00822708" w:rsidRPr="007A26D1">
        <w:rPr>
          <w:rFonts w:ascii="宋体" w:eastAsia="宋体" w:hAnsi="宋体" w:hint="eastAsia"/>
          <w:color w:val="auto"/>
        </w:rPr>
        <w:t>参评院级品牌课程被听学时数不少于课程总学时的三分之一，</w:t>
      </w:r>
      <w:r w:rsidRPr="007A26D1">
        <w:rPr>
          <w:rFonts w:ascii="宋体" w:eastAsia="宋体" w:hAnsi="宋体" w:hint="eastAsia"/>
          <w:color w:val="auto"/>
        </w:rPr>
        <w:t>听课专家不少于</w:t>
      </w:r>
      <w:r w:rsidR="00762AC3" w:rsidRPr="007A26D1">
        <w:rPr>
          <w:rFonts w:ascii="宋体" w:eastAsia="宋体" w:hAnsi="宋体" w:hint="eastAsia"/>
          <w:color w:val="auto"/>
        </w:rPr>
        <w:t>5</w:t>
      </w:r>
      <w:r w:rsidRPr="007A26D1">
        <w:rPr>
          <w:rFonts w:ascii="宋体" w:eastAsia="宋体" w:hAnsi="宋体" w:hint="eastAsia"/>
          <w:color w:val="auto"/>
        </w:rPr>
        <w:t>人。</w:t>
      </w:r>
    </w:p>
    <w:p w:rsidR="0053499F" w:rsidRPr="007A26D1" w:rsidRDefault="00B469E8"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院</w:t>
      </w:r>
      <w:r w:rsidR="00386AC7" w:rsidRPr="007A26D1">
        <w:rPr>
          <w:rFonts w:ascii="宋体" w:eastAsia="宋体" w:hAnsi="宋体" w:hint="eastAsia"/>
          <w:color w:val="auto"/>
        </w:rPr>
        <w:t>级教学专家组</w:t>
      </w:r>
      <w:r w:rsidR="00F93FD0" w:rsidRPr="007A26D1">
        <w:rPr>
          <w:rFonts w:ascii="宋体" w:eastAsia="宋体" w:hAnsi="宋体" w:hint="eastAsia"/>
          <w:color w:val="auto"/>
        </w:rPr>
        <w:t>根据</w:t>
      </w:r>
      <w:r w:rsidR="00850FE9" w:rsidRPr="007A26D1">
        <w:rPr>
          <w:rFonts w:ascii="宋体" w:eastAsia="宋体" w:hAnsi="宋体"/>
        </w:rPr>
        <w:t>《指标体系》对参评</w:t>
      </w:r>
      <w:r w:rsidRPr="007A26D1">
        <w:rPr>
          <w:rFonts w:ascii="宋体" w:eastAsia="宋体" w:hAnsi="宋体" w:hint="eastAsia"/>
          <w:color w:val="auto"/>
        </w:rPr>
        <w:t>院级</w:t>
      </w:r>
      <w:r w:rsidR="00386AC7" w:rsidRPr="007A26D1">
        <w:rPr>
          <w:rFonts w:ascii="宋体" w:eastAsia="宋体" w:hAnsi="宋体" w:hint="eastAsia"/>
          <w:color w:val="auto"/>
        </w:rPr>
        <w:t>品牌课的</w:t>
      </w:r>
      <w:r w:rsidR="00850FE9" w:rsidRPr="007A26D1">
        <w:rPr>
          <w:rFonts w:ascii="宋体" w:eastAsia="宋体" w:hAnsi="宋体"/>
        </w:rPr>
        <w:t>课程进行</w:t>
      </w:r>
      <w:r w:rsidR="00386AC7" w:rsidRPr="007A26D1">
        <w:rPr>
          <w:rFonts w:ascii="宋体" w:eastAsia="宋体" w:hAnsi="宋体" w:hint="eastAsia"/>
          <w:color w:val="auto"/>
        </w:rPr>
        <w:t>听课、查阅教学材料、</w:t>
      </w:r>
      <w:r w:rsidR="00850FE9" w:rsidRPr="007A26D1">
        <w:rPr>
          <w:rFonts w:ascii="宋体" w:eastAsia="宋体" w:hAnsi="宋体"/>
        </w:rPr>
        <w:t>充分评议后，</w:t>
      </w:r>
      <w:r w:rsidR="00386AC7" w:rsidRPr="007A26D1">
        <w:rPr>
          <w:rFonts w:ascii="宋体" w:eastAsia="宋体" w:hAnsi="宋体" w:hint="eastAsia"/>
          <w:color w:val="auto"/>
        </w:rPr>
        <w:t>各专家独立</w:t>
      </w:r>
      <w:r w:rsidR="00850FE9" w:rsidRPr="007A26D1">
        <w:rPr>
          <w:rFonts w:ascii="宋体" w:eastAsia="宋体" w:hAnsi="宋体"/>
        </w:rPr>
        <w:t>给出各评价要素的等级</w:t>
      </w:r>
      <w:r w:rsidR="00386AC7" w:rsidRPr="007A26D1">
        <w:rPr>
          <w:rFonts w:ascii="宋体" w:eastAsia="宋体" w:hAnsi="宋体" w:hint="eastAsia"/>
          <w:color w:val="auto"/>
        </w:rPr>
        <w:t>。参评课程的最终结果为各专家的评价结果的平均值。</w:t>
      </w:r>
      <w:r w:rsidR="00850FE9" w:rsidRPr="007A26D1">
        <w:rPr>
          <w:rFonts w:ascii="宋体" w:eastAsia="宋体" w:hAnsi="宋体" w:hint="eastAsia"/>
          <w:color w:val="auto"/>
        </w:rPr>
        <w:t>被评为品牌课的课程总分应高于</w:t>
      </w:r>
      <w:r w:rsidRPr="007A26D1">
        <w:rPr>
          <w:rFonts w:ascii="宋体" w:eastAsia="宋体" w:hAnsi="宋体"/>
          <w:color w:val="auto"/>
        </w:rPr>
        <w:t>80</w:t>
      </w:r>
      <w:r w:rsidRPr="007A26D1">
        <w:rPr>
          <w:rFonts w:ascii="宋体" w:eastAsia="宋体" w:hAnsi="宋体" w:hint="eastAsia"/>
          <w:color w:val="auto"/>
        </w:rPr>
        <w:t>A，</w:t>
      </w:r>
      <w:r w:rsidRPr="007A26D1">
        <w:rPr>
          <w:rFonts w:ascii="宋体" w:eastAsia="宋体" w:hAnsi="宋体"/>
          <w:color w:val="auto"/>
        </w:rPr>
        <w:t>且无D级项目</w:t>
      </w:r>
      <w:r w:rsidR="00140B6C">
        <w:rPr>
          <w:rFonts w:ascii="宋体" w:eastAsia="宋体" w:hAnsi="宋体" w:hint="eastAsia"/>
          <w:color w:val="auto"/>
        </w:rPr>
        <w:t>；</w:t>
      </w:r>
      <w:bookmarkStart w:id="2" w:name="_GoBack"/>
      <w:bookmarkEnd w:id="2"/>
      <w:r w:rsidRPr="007A26D1">
        <w:rPr>
          <w:rFonts w:ascii="宋体" w:eastAsia="宋体" w:hAnsi="宋体" w:hint="eastAsia"/>
          <w:color w:val="auto"/>
        </w:rPr>
        <w:t>或高于60A+30B，且无D级项目</w:t>
      </w:r>
      <w:r w:rsidR="00850FE9" w:rsidRPr="007A26D1">
        <w:rPr>
          <w:rFonts w:ascii="宋体" w:eastAsia="宋体" w:hAnsi="宋体" w:hint="eastAsia"/>
          <w:color w:val="auto"/>
        </w:rPr>
        <w:t>。</w:t>
      </w:r>
    </w:p>
    <w:p w:rsidR="00506D4D" w:rsidRPr="007A26D1" w:rsidRDefault="00506D4D"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学院需将院级品牌课评选标准、评选程序以及每学年参选院级品牌课的课程清单提交校教学专家组办公室备案。</w:t>
      </w:r>
    </w:p>
    <w:p w:rsidR="00F174A4" w:rsidRPr="007A26D1" w:rsidRDefault="00F174A4"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学院</w:t>
      </w:r>
      <w:r w:rsidR="00D62F88" w:rsidRPr="007A26D1">
        <w:rPr>
          <w:rFonts w:ascii="宋体" w:eastAsia="宋体" w:hAnsi="宋体" w:hint="eastAsia"/>
          <w:color w:val="auto"/>
        </w:rPr>
        <w:t>每年</w:t>
      </w:r>
      <w:r w:rsidR="00506D4D" w:rsidRPr="007A26D1">
        <w:rPr>
          <w:rFonts w:ascii="宋体" w:eastAsia="宋体" w:hAnsi="宋体" w:hint="eastAsia"/>
          <w:color w:val="auto"/>
        </w:rPr>
        <w:t>向学校推荐院级品牌</w:t>
      </w:r>
      <w:r w:rsidR="00626582" w:rsidRPr="007A26D1">
        <w:rPr>
          <w:rFonts w:ascii="宋体" w:eastAsia="宋体" w:hAnsi="宋体" w:hint="eastAsia"/>
          <w:color w:val="auto"/>
        </w:rPr>
        <w:t>课</w:t>
      </w:r>
      <w:r w:rsidR="00626582" w:rsidRPr="007A26D1">
        <w:rPr>
          <w:rFonts w:ascii="宋体" w:eastAsia="宋体" w:hAnsi="宋体"/>
          <w:color w:val="auto"/>
        </w:rPr>
        <w:t>名额以学校</w:t>
      </w:r>
      <w:r w:rsidR="00626582" w:rsidRPr="007A26D1">
        <w:rPr>
          <w:rFonts w:ascii="宋体" w:eastAsia="宋体" w:hAnsi="宋体" w:hint="eastAsia"/>
          <w:color w:val="auto"/>
        </w:rPr>
        <w:t>分配</w:t>
      </w:r>
      <w:r w:rsidR="00626582" w:rsidRPr="007A26D1">
        <w:rPr>
          <w:rFonts w:ascii="宋体" w:eastAsia="宋体" w:hAnsi="宋体"/>
          <w:color w:val="auto"/>
        </w:rPr>
        <w:t>名额为准</w:t>
      </w:r>
      <w:r w:rsidRPr="007A26D1">
        <w:rPr>
          <w:rFonts w:ascii="宋体" w:eastAsia="宋体" w:hAnsi="宋体" w:hint="eastAsia"/>
          <w:color w:val="auto"/>
        </w:rPr>
        <w:t>。</w:t>
      </w:r>
    </w:p>
    <w:p w:rsidR="00222ED3" w:rsidRPr="007A26D1" w:rsidRDefault="00850FE9"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color w:val="auto"/>
        </w:rPr>
        <w:t>品牌课</w:t>
      </w:r>
      <w:r w:rsidRPr="007A26D1">
        <w:rPr>
          <w:rFonts w:ascii="宋体" w:eastAsia="宋体" w:hAnsi="宋体" w:hint="eastAsia"/>
          <w:color w:val="auto"/>
        </w:rPr>
        <w:t>教师</w:t>
      </w:r>
      <w:r w:rsidRPr="007A26D1">
        <w:rPr>
          <w:rFonts w:ascii="宋体" w:eastAsia="宋体" w:hAnsi="宋体"/>
          <w:color w:val="auto"/>
        </w:rPr>
        <w:t>称号保持期间，优先安排品牌课教师讲授该课程。</w:t>
      </w:r>
    </w:p>
    <w:p w:rsidR="00626582" w:rsidRPr="007A26D1" w:rsidRDefault="00626582"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同一教师</w:t>
      </w:r>
      <w:r w:rsidRPr="007A26D1">
        <w:rPr>
          <w:rFonts w:ascii="宋体" w:eastAsia="宋体" w:hAnsi="宋体"/>
          <w:color w:val="auto"/>
        </w:rPr>
        <w:t>同一门课不得连续申请。</w:t>
      </w:r>
    </w:p>
    <w:p w:rsidR="00222ED3" w:rsidRPr="007A26D1" w:rsidRDefault="00222ED3"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lastRenderedPageBreak/>
        <w:t>学</w:t>
      </w:r>
      <w:r w:rsidR="00626582" w:rsidRPr="007A26D1">
        <w:rPr>
          <w:rFonts w:ascii="宋体" w:eastAsia="宋体" w:hAnsi="宋体" w:hint="eastAsia"/>
          <w:color w:val="auto"/>
        </w:rPr>
        <w:t>院</w:t>
      </w:r>
      <w:r w:rsidRPr="007A26D1">
        <w:rPr>
          <w:rFonts w:ascii="宋体" w:eastAsia="宋体" w:hAnsi="宋体" w:hint="eastAsia"/>
          <w:color w:val="auto"/>
        </w:rPr>
        <w:t>将优先支持</w:t>
      </w:r>
      <w:r w:rsidR="00850FE9" w:rsidRPr="007A26D1">
        <w:rPr>
          <w:rFonts w:ascii="宋体" w:eastAsia="宋体" w:hAnsi="宋体"/>
          <w:color w:val="auto"/>
        </w:rPr>
        <w:t>品牌课教师</w:t>
      </w:r>
      <w:r w:rsidR="00850FE9" w:rsidRPr="007A26D1">
        <w:rPr>
          <w:rFonts w:ascii="宋体" w:eastAsia="宋体" w:hAnsi="宋体" w:hint="eastAsia"/>
          <w:color w:val="auto"/>
        </w:rPr>
        <w:t>开展教学研究，优先推荐品牌课教师为负责人的教学团队为校级优秀教学团队</w:t>
      </w:r>
      <w:r w:rsidR="006B0131" w:rsidRPr="007A26D1">
        <w:rPr>
          <w:rFonts w:ascii="宋体" w:eastAsia="宋体" w:hAnsi="宋体" w:hint="eastAsia"/>
          <w:color w:val="auto"/>
        </w:rPr>
        <w:t>；</w:t>
      </w:r>
      <w:r w:rsidR="006B0131" w:rsidRPr="007A26D1">
        <w:rPr>
          <w:rFonts w:ascii="宋体" w:eastAsia="宋体" w:hAnsi="宋体"/>
          <w:color w:val="auto"/>
        </w:rPr>
        <w:t>职称评定</w:t>
      </w:r>
      <w:r w:rsidR="006B0131" w:rsidRPr="007A26D1">
        <w:rPr>
          <w:rFonts w:ascii="宋体" w:eastAsia="宋体" w:hAnsi="宋体" w:hint="eastAsia"/>
          <w:color w:val="auto"/>
        </w:rPr>
        <w:t>时</w:t>
      </w:r>
      <w:r w:rsidR="006B0131" w:rsidRPr="007A26D1">
        <w:rPr>
          <w:rFonts w:ascii="宋体" w:eastAsia="宋体" w:hAnsi="宋体"/>
          <w:color w:val="auto"/>
        </w:rPr>
        <w:t>，同等条件下，获得品牌课称号的教师</w:t>
      </w:r>
      <w:r w:rsidR="006B0131" w:rsidRPr="007A26D1">
        <w:rPr>
          <w:rFonts w:ascii="宋体" w:eastAsia="宋体" w:hAnsi="宋体" w:hint="eastAsia"/>
          <w:color w:val="auto"/>
        </w:rPr>
        <w:t>优先</w:t>
      </w:r>
      <w:r w:rsidR="00626582" w:rsidRPr="007A26D1">
        <w:rPr>
          <w:rFonts w:ascii="宋体" w:eastAsia="宋体" w:hAnsi="宋体" w:hint="eastAsia"/>
          <w:color w:val="auto"/>
        </w:rPr>
        <w:t>推荐</w:t>
      </w:r>
      <w:r w:rsidR="006B0131" w:rsidRPr="007A26D1">
        <w:rPr>
          <w:rFonts w:ascii="宋体" w:eastAsia="宋体" w:hAnsi="宋体"/>
          <w:color w:val="auto"/>
        </w:rPr>
        <w:t>。</w:t>
      </w:r>
    </w:p>
    <w:p w:rsidR="0053499F" w:rsidRPr="007A26D1" w:rsidRDefault="00850FE9"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color w:val="auto"/>
        </w:rPr>
        <w:t>品牌课称号有效期为五年</w:t>
      </w:r>
      <w:r w:rsidR="006B0131" w:rsidRPr="007A26D1">
        <w:rPr>
          <w:rFonts w:ascii="宋体" w:eastAsia="宋体" w:hAnsi="宋体" w:hint="eastAsia"/>
          <w:color w:val="auto"/>
        </w:rPr>
        <w:t>。</w:t>
      </w:r>
      <w:r w:rsidRPr="007A26D1">
        <w:rPr>
          <w:rFonts w:ascii="宋体" w:eastAsia="宋体" w:hAnsi="宋体"/>
          <w:color w:val="auto"/>
        </w:rPr>
        <w:t>五年后</w:t>
      </w:r>
      <w:r w:rsidR="006B0131" w:rsidRPr="007A26D1">
        <w:rPr>
          <w:rFonts w:ascii="宋体" w:eastAsia="宋体" w:hAnsi="宋体" w:hint="eastAsia"/>
          <w:color w:val="auto"/>
        </w:rPr>
        <w:t>继续保持荣誉称号需重新提交申请、参加复评。</w:t>
      </w:r>
    </w:p>
    <w:p w:rsidR="0053499F" w:rsidRPr="007A26D1" w:rsidRDefault="00850FE9"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rPr>
        <w:t>在品牌课称号有效期内</w:t>
      </w:r>
      <w:r w:rsidRPr="007A26D1">
        <w:rPr>
          <w:rFonts w:ascii="宋体" w:eastAsia="宋体" w:hAnsi="宋体" w:hint="eastAsia"/>
        </w:rPr>
        <w:t>，</w:t>
      </w:r>
      <w:r w:rsidRPr="007A26D1">
        <w:rPr>
          <w:rFonts w:ascii="宋体" w:eastAsia="宋体" w:hAnsi="宋体"/>
        </w:rPr>
        <w:t>若出现教学质量明显下降、发生重大教学事故</w:t>
      </w:r>
      <w:r w:rsidRPr="007A26D1">
        <w:rPr>
          <w:rFonts w:ascii="宋体" w:eastAsia="宋体" w:hAnsi="宋体" w:hint="eastAsia"/>
        </w:rPr>
        <w:t>或该教师连续</w:t>
      </w:r>
      <w:r w:rsidRPr="007A26D1">
        <w:rPr>
          <w:rFonts w:ascii="宋体" w:eastAsia="宋体" w:hAnsi="宋体"/>
        </w:rPr>
        <w:t>两年未开设</w:t>
      </w:r>
      <w:r w:rsidRPr="007A26D1">
        <w:rPr>
          <w:rFonts w:ascii="宋体" w:eastAsia="宋体" w:hAnsi="宋体" w:hint="eastAsia"/>
        </w:rPr>
        <w:t>该课程，</w:t>
      </w:r>
      <w:r w:rsidRPr="007A26D1">
        <w:rPr>
          <w:rFonts w:ascii="宋体" w:eastAsia="宋体" w:hAnsi="宋体"/>
          <w:color w:val="auto"/>
        </w:rPr>
        <w:t>则取消该</w:t>
      </w:r>
      <w:r w:rsidR="00A5315A" w:rsidRPr="007A26D1">
        <w:rPr>
          <w:rFonts w:ascii="宋体" w:eastAsia="宋体" w:hAnsi="宋体" w:hint="eastAsia"/>
          <w:color w:val="auto"/>
        </w:rPr>
        <w:t>教师该课程</w:t>
      </w:r>
      <w:r w:rsidRPr="007A26D1">
        <w:rPr>
          <w:rFonts w:ascii="宋体" w:eastAsia="宋体" w:hAnsi="宋体"/>
          <w:color w:val="auto"/>
        </w:rPr>
        <w:t>品牌课称号。</w:t>
      </w:r>
    </w:p>
    <w:p w:rsidR="0053499F" w:rsidRPr="007A26D1" w:rsidRDefault="006B0131" w:rsidP="00474C69">
      <w:pPr>
        <w:pStyle w:val="a3"/>
        <w:numPr>
          <w:ilvl w:val="0"/>
          <w:numId w:val="6"/>
        </w:numPr>
        <w:spacing w:beforeLines="50" w:before="156" w:beforeAutospacing="0" w:afterLines="50" w:after="156" w:afterAutospacing="0" w:line="360" w:lineRule="exact"/>
        <w:ind w:left="1134" w:hanging="1123"/>
        <w:rPr>
          <w:rFonts w:ascii="宋体" w:eastAsia="宋体" w:hAnsi="宋体"/>
          <w:color w:val="auto"/>
        </w:rPr>
      </w:pPr>
      <w:r w:rsidRPr="007A26D1">
        <w:rPr>
          <w:rFonts w:ascii="宋体" w:eastAsia="宋体" w:hAnsi="宋体" w:hint="eastAsia"/>
          <w:color w:val="auto"/>
        </w:rPr>
        <w:t>本办法自发布之日起实施，由</w:t>
      </w:r>
      <w:r w:rsidR="00D62F88" w:rsidRPr="007A26D1">
        <w:rPr>
          <w:rFonts w:ascii="宋体" w:eastAsia="宋体" w:hAnsi="宋体" w:hint="eastAsia"/>
          <w:color w:val="auto"/>
        </w:rPr>
        <w:t>院教学专家组</w:t>
      </w:r>
      <w:r w:rsidRPr="007A26D1">
        <w:rPr>
          <w:rFonts w:ascii="宋体" w:eastAsia="宋体" w:hAnsi="宋体" w:hint="eastAsia"/>
          <w:color w:val="auto"/>
        </w:rPr>
        <w:t>负责解释。</w:t>
      </w:r>
    </w:p>
    <w:p w:rsidR="00E71AB0" w:rsidRPr="007A26D1" w:rsidRDefault="00E71AB0" w:rsidP="00426EC4">
      <w:pPr>
        <w:pStyle w:val="a3"/>
        <w:spacing w:beforeLines="50" w:before="156" w:beforeAutospacing="0" w:afterLines="50" w:after="156" w:afterAutospacing="0" w:line="360" w:lineRule="exact"/>
        <w:ind w:firstLineChars="200" w:firstLine="480"/>
        <w:rPr>
          <w:rFonts w:ascii="宋体" w:eastAsia="宋体" w:hAnsi="宋体"/>
          <w:color w:val="auto"/>
        </w:rPr>
      </w:pPr>
    </w:p>
    <w:p w:rsidR="00426EC4" w:rsidRPr="007A26D1" w:rsidRDefault="00426EC4" w:rsidP="00426EC4">
      <w:pPr>
        <w:pStyle w:val="a3"/>
        <w:spacing w:beforeLines="50" w:before="156" w:beforeAutospacing="0" w:afterLines="50" w:after="156" w:afterAutospacing="0" w:line="360" w:lineRule="exact"/>
        <w:ind w:firstLineChars="200" w:firstLine="480"/>
        <w:jc w:val="right"/>
        <w:rPr>
          <w:rFonts w:ascii="宋体" w:eastAsia="宋体" w:hAnsi="宋体"/>
          <w:color w:val="auto"/>
        </w:rPr>
      </w:pPr>
      <w:r w:rsidRPr="007A26D1">
        <w:rPr>
          <w:rFonts w:ascii="宋体" w:eastAsia="宋体" w:hAnsi="宋体" w:hint="eastAsia"/>
          <w:color w:val="auto"/>
        </w:rPr>
        <w:t>信息科学与工程学院</w:t>
      </w:r>
    </w:p>
    <w:p w:rsidR="00426EC4" w:rsidRPr="007A26D1" w:rsidRDefault="00626582" w:rsidP="00426EC4">
      <w:pPr>
        <w:pStyle w:val="a3"/>
        <w:spacing w:beforeLines="50" w:before="156" w:beforeAutospacing="0" w:afterLines="50" w:after="156" w:afterAutospacing="0" w:line="360" w:lineRule="exact"/>
        <w:ind w:firstLineChars="200" w:firstLine="480"/>
        <w:jc w:val="right"/>
        <w:rPr>
          <w:rFonts w:ascii="宋体" w:eastAsia="宋体" w:hAnsi="宋体"/>
          <w:color w:val="auto"/>
        </w:rPr>
      </w:pPr>
      <w:r w:rsidRPr="007A26D1">
        <w:rPr>
          <w:rFonts w:ascii="宋体" w:eastAsia="宋体" w:hAnsi="宋体"/>
          <w:color w:val="auto"/>
        </w:rPr>
        <w:t>2019年9月2日</w:t>
      </w:r>
    </w:p>
    <w:sectPr w:rsidR="00426EC4" w:rsidRPr="007A26D1" w:rsidSect="00474C69">
      <w:pgSz w:w="11906" w:h="16838"/>
      <w:pgMar w:top="1440" w:right="1274"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56" w:rsidRDefault="00F77356" w:rsidP="00F11E5B">
      <w:r>
        <w:separator/>
      </w:r>
    </w:p>
  </w:endnote>
  <w:endnote w:type="continuationSeparator" w:id="0">
    <w:p w:rsidR="00F77356" w:rsidRDefault="00F77356" w:rsidP="00F1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56" w:rsidRDefault="00F77356" w:rsidP="00F11E5B">
      <w:r>
        <w:separator/>
      </w:r>
    </w:p>
  </w:footnote>
  <w:footnote w:type="continuationSeparator" w:id="0">
    <w:p w:rsidR="00F77356" w:rsidRDefault="00F77356" w:rsidP="00F1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79D"/>
    <w:multiLevelType w:val="hybridMultilevel"/>
    <w:tmpl w:val="3126DA8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83331E"/>
    <w:multiLevelType w:val="hybridMultilevel"/>
    <w:tmpl w:val="2B0AA124"/>
    <w:lvl w:ilvl="0" w:tplc="6C70749E">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 w15:restartNumberingAfterBreak="0">
    <w:nsid w:val="34770950"/>
    <w:multiLevelType w:val="hybridMultilevel"/>
    <w:tmpl w:val="951C0040"/>
    <w:lvl w:ilvl="0" w:tplc="F3464392">
      <w:start w:val="1"/>
      <w:numFmt w:val="japaneseCounting"/>
      <w:lvlText w:val="第%1条"/>
      <w:lvlJc w:val="left"/>
      <w:pPr>
        <w:ind w:left="1322" w:hanging="840"/>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37F1597A"/>
    <w:multiLevelType w:val="hybridMultilevel"/>
    <w:tmpl w:val="0ABC1436"/>
    <w:lvl w:ilvl="0" w:tplc="E2CC3546">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4" w15:restartNumberingAfterBreak="0">
    <w:nsid w:val="6C315E25"/>
    <w:multiLevelType w:val="hybridMultilevel"/>
    <w:tmpl w:val="064E50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28120F6"/>
    <w:multiLevelType w:val="hybridMultilevel"/>
    <w:tmpl w:val="8398E89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45E0AB2"/>
    <w:multiLevelType w:val="hybridMultilevel"/>
    <w:tmpl w:val="DC28668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56E5AC3"/>
    <w:multiLevelType w:val="hybridMultilevel"/>
    <w:tmpl w:val="67A0C0B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0"/>
    <w:rsid w:val="00060831"/>
    <w:rsid w:val="00070F64"/>
    <w:rsid w:val="00083ED3"/>
    <w:rsid w:val="000E247D"/>
    <w:rsid w:val="000E7746"/>
    <w:rsid w:val="00140B6C"/>
    <w:rsid w:val="0014766A"/>
    <w:rsid w:val="0015050B"/>
    <w:rsid w:val="001727E0"/>
    <w:rsid w:val="00196771"/>
    <w:rsid w:val="001D2E17"/>
    <w:rsid w:val="00222ED3"/>
    <w:rsid w:val="00242920"/>
    <w:rsid w:val="002F7CF9"/>
    <w:rsid w:val="00316F3A"/>
    <w:rsid w:val="00323BD6"/>
    <w:rsid w:val="00336B3F"/>
    <w:rsid w:val="00342730"/>
    <w:rsid w:val="00386AC7"/>
    <w:rsid w:val="00420EAB"/>
    <w:rsid w:val="00426EC4"/>
    <w:rsid w:val="0047386F"/>
    <w:rsid w:val="00474C69"/>
    <w:rsid w:val="00477934"/>
    <w:rsid w:val="004B72D7"/>
    <w:rsid w:val="004D0AB9"/>
    <w:rsid w:val="004E229C"/>
    <w:rsid w:val="004E34D5"/>
    <w:rsid w:val="0050362B"/>
    <w:rsid w:val="00506D4D"/>
    <w:rsid w:val="0053499F"/>
    <w:rsid w:val="00537510"/>
    <w:rsid w:val="00553ADA"/>
    <w:rsid w:val="00557872"/>
    <w:rsid w:val="005B718D"/>
    <w:rsid w:val="005C57E1"/>
    <w:rsid w:val="005F6A6C"/>
    <w:rsid w:val="005F7CB5"/>
    <w:rsid w:val="00617100"/>
    <w:rsid w:val="00626582"/>
    <w:rsid w:val="006646FA"/>
    <w:rsid w:val="00680516"/>
    <w:rsid w:val="006B0131"/>
    <w:rsid w:val="007013D4"/>
    <w:rsid w:val="0070326A"/>
    <w:rsid w:val="00713C83"/>
    <w:rsid w:val="00762AC3"/>
    <w:rsid w:val="00777D46"/>
    <w:rsid w:val="007873AE"/>
    <w:rsid w:val="007A26D1"/>
    <w:rsid w:val="007F036D"/>
    <w:rsid w:val="00822708"/>
    <w:rsid w:val="00850FE9"/>
    <w:rsid w:val="00880116"/>
    <w:rsid w:val="008E61E4"/>
    <w:rsid w:val="009075DD"/>
    <w:rsid w:val="009301E0"/>
    <w:rsid w:val="00933E02"/>
    <w:rsid w:val="00944B10"/>
    <w:rsid w:val="009923DC"/>
    <w:rsid w:val="0099388D"/>
    <w:rsid w:val="009A01D2"/>
    <w:rsid w:val="009D1138"/>
    <w:rsid w:val="009F634D"/>
    <w:rsid w:val="00A272C0"/>
    <w:rsid w:val="00A5315A"/>
    <w:rsid w:val="00A872D0"/>
    <w:rsid w:val="00A9491B"/>
    <w:rsid w:val="00AA6A46"/>
    <w:rsid w:val="00AD11E6"/>
    <w:rsid w:val="00AF334C"/>
    <w:rsid w:val="00B2295E"/>
    <w:rsid w:val="00B469E8"/>
    <w:rsid w:val="00B47D5A"/>
    <w:rsid w:val="00BF6129"/>
    <w:rsid w:val="00BF76FC"/>
    <w:rsid w:val="00C145D1"/>
    <w:rsid w:val="00C41448"/>
    <w:rsid w:val="00C87E65"/>
    <w:rsid w:val="00C928D1"/>
    <w:rsid w:val="00CA6A60"/>
    <w:rsid w:val="00CC1D64"/>
    <w:rsid w:val="00CC7916"/>
    <w:rsid w:val="00CD5CD1"/>
    <w:rsid w:val="00CF0BC0"/>
    <w:rsid w:val="00D14855"/>
    <w:rsid w:val="00D2395A"/>
    <w:rsid w:val="00D31A95"/>
    <w:rsid w:val="00D62F88"/>
    <w:rsid w:val="00DD3390"/>
    <w:rsid w:val="00E16642"/>
    <w:rsid w:val="00E6321E"/>
    <w:rsid w:val="00E71AB0"/>
    <w:rsid w:val="00E72DFD"/>
    <w:rsid w:val="00ED0732"/>
    <w:rsid w:val="00EE2B99"/>
    <w:rsid w:val="00F11E5B"/>
    <w:rsid w:val="00F174A4"/>
    <w:rsid w:val="00F3433A"/>
    <w:rsid w:val="00F77356"/>
    <w:rsid w:val="00F81CCE"/>
    <w:rsid w:val="00F93FD0"/>
    <w:rsid w:val="00F9622E"/>
    <w:rsid w:val="00FB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3A4E"/>
  <w15:docId w15:val="{22BA571D-5190-4586-B672-6B18D2CF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autoRedefine/>
    <w:qFormat/>
    <w:rsid w:val="00A9491B"/>
    <w:pPr>
      <w:keepNext/>
      <w:keepLines/>
      <w:spacing w:line="360" w:lineRule="auto"/>
      <w:jc w:val="center"/>
      <w:outlineLvl w:val="1"/>
    </w:pPr>
    <w:rPr>
      <w:rFonts w:ascii="宋体" w:eastAsia="黑体" w:hAnsi="宋体" w:cs="Times New Roman"/>
      <w:b/>
      <w:kern w:val="0"/>
      <w:sz w:val="3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A9491B"/>
    <w:rPr>
      <w:rFonts w:ascii="宋体" w:eastAsia="黑体" w:hAnsi="宋体" w:cs="Times New Roman"/>
      <w:b/>
      <w:kern w:val="0"/>
      <w:sz w:val="30"/>
      <w:szCs w:val="21"/>
    </w:rPr>
  </w:style>
  <w:style w:type="paragraph" w:styleId="a3">
    <w:name w:val="Normal (Web)"/>
    <w:basedOn w:val="a"/>
    <w:rsid w:val="00944B10"/>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4">
    <w:name w:val="header"/>
    <w:basedOn w:val="a"/>
    <w:link w:val="a5"/>
    <w:uiPriority w:val="99"/>
    <w:unhideWhenUsed/>
    <w:rsid w:val="00F11E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11E5B"/>
    <w:rPr>
      <w:sz w:val="18"/>
      <w:szCs w:val="18"/>
    </w:rPr>
  </w:style>
  <w:style w:type="paragraph" w:styleId="a6">
    <w:name w:val="footer"/>
    <w:basedOn w:val="a"/>
    <w:link w:val="a7"/>
    <w:uiPriority w:val="99"/>
    <w:unhideWhenUsed/>
    <w:rsid w:val="00F11E5B"/>
    <w:pPr>
      <w:tabs>
        <w:tab w:val="center" w:pos="4153"/>
        <w:tab w:val="right" w:pos="8306"/>
      </w:tabs>
      <w:snapToGrid w:val="0"/>
      <w:jc w:val="left"/>
    </w:pPr>
    <w:rPr>
      <w:sz w:val="18"/>
      <w:szCs w:val="18"/>
    </w:rPr>
  </w:style>
  <w:style w:type="character" w:customStyle="1" w:styleId="a7">
    <w:name w:val="页脚 字符"/>
    <w:basedOn w:val="a0"/>
    <w:link w:val="a6"/>
    <w:uiPriority w:val="99"/>
    <w:rsid w:val="00F11E5B"/>
    <w:rPr>
      <w:sz w:val="18"/>
      <w:szCs w:val="18"/>
    </w:rPr>
  </w:style>
  <w:style w:type="paragraph" w:styleId="a8">
    <w:name w:val="Balloon Text"/>
    <w:basedOn w:val="a"/>
    <w:link w:val="a9"/>
    <w:uiPriority w:val="99"/>
    <w:semiHidden/>
    <w:unhideWhenUsed/>
    <w:rsid w:val="004E34D5"/>
    <w:rPr>
      <w:sz w:val="18"/>
      <w:szCs w:val="18"/>
    </w:rPr>
  </w:style>
  <w:style w:type="character" w:customStyle="1" w:styleId="a9">
    <w:name w:val="批注框文本 字符"/>
    <w:basedOn w:val="a0"/>
    <w:link w:val="a8"/>
    <w:uiPriority w:val="99"/>
    <w:semiHidden/>
    <w:rsid w:val="004E34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2015-03-27T01:19:00Z</cp:lastPrinted>
  <dcterms:created xsi:type="dcterms:W3CDTF">2015-03-27T00:48:00Z</dcterms:created>
  <dcterms:modified xsi:type="dcterms:W3CDTF">2019-09-03T01:32:00Z</dcterms:modified>
</cp:coreProperties>
</file>