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FB631" w14:textId="77777777" w:rsidR="009025F1" w:rsidRDefault="009025F1" w:rsidP="009025F1">
      <w:pPr>
        <w:pStyle w:val="2"/>
        <w:tabs>
          <w:tab w:val="left" w:pos="0"/>
        </w:tabs>
        <w:spacing w:before="0" w:after="0" w:line="415" w:lineRule="auto"/>
        <w:rPr>
          <w:rFonts w:ascii="仿宋" w:eastAsia="仿宋" w:hAnsi="仿宋" w:cs="仿宋"/>
          <w:sz w:val="28"/>
          <w:szCs w:val="28"/>
        </w:rPr>
      </w:pPr>
      <w:bookmarkStart w:id="0" w:name="_Toc90635197"/>
      <w:bookmarkStart w:id="1" w:name="_Toc90635193"/>
      <w:r>
        <w:rPr>
          <w:rFonts w:ascii="仿宋" w:eastAsia="仿宋" w:hAnsi="仿宋" w:cs="仿宋"/>
          <w:sz w:val="28"/>
          <w:szCs w:val="28"/>
        </w:rPr>
        <w:t xml:space="preserve">4.3 </w:t>
      </w:r>
      <w:bookmarkStart w:id="2" w:name="_Toc89851065"/>
      <w:bookmarkStart w:id="3" w:name="_Toc2641"/>
      <w:r>
        <w:rPr>
          <w:rFonts w:ascii="仿宋" w:eastAsia="仿宋" w:hAnsi="仿宋" w:cs="仿宋" w:hint="eastAsia"/>
          <w:sz w:val="28"/>
          <w:szCs w:val="28"/>
        </w:rPr>
        <w:t>“课内</w:t>
      </w:r>
      <w:r>
        <w:rPr>
          <w:rFonts w:ascii="仿宋" w:eastAsia="仿宋" w:hAnsi="仿宋" w:cs="仿宋"/>
          <w:sz w:val="28"/>
          <w:szCs w:val="28"/>
        </w:rPr>
        <w:t>-</w:t>
      </w:r>
      <w:r>
        <w:rPr>
          <w:rFonts w:ascii="仿宋" w:eastAsia="仿宋" w:hAnsi="仿宋" w:cs="仿宋" w:hint="eastAsia"/>
          <w:sz w:val="28"/>
          <w:szCs w:val="28"/>
        </w:rPr>
        <w:t>课外”联动</w:t>
      </w:r>
      <w:r>
        <w:rPr>
          <w:rFonts w:ascii="仿宋" w:eastAsia="仿宋" w:hAnsi="仿宋" w:cs="仿宋"/>
          <w:sz w:val="28"/>
          <w:szCs w:val="28"/>
        </w:rPr>
        <w:t>——</w:t>
      </w:r>
      <w:r>
        <w:rPr>
          <w:rFonts w:ascii="仿宋" w:eastAsia="仿宋" w:hAnsi="仿宋" w:cs="仿宋" w:hint="eastAsia"/>
          <w:sz w:val="28"/>
          <w:szCs w:val="28"/>
        </w:rPr>
        <w:t>《油气集输》课内模块</w:t>
      </w:r>
      <w:bookmarkEnd w:id="2"/>
      <w:bookmarkEnd w:id="3"/>
      <w:r>
        <w:rPr>
          <w:rFonts w:ascii="仿宋" w:eastAsia="仿宋" w:hAnsi="仿宋" w:cs="仿宋" w:hint="eastAsia"/>
          <w:sz w:val="28"/>
          <w:szCs w:val="28"/>
        </w:rPr>
        <w:t>化教学</w:t>
      </w:r>
      <w:bookmarkEnd w:id="1"/>
    </w:p>
    <w:p w14:paraId="4C8D5C27" w14:textId="77777777" w:rsidR="009025F1" w:rsidRDefault="009025F1" w:rsidP="009025F1">
      <w:pPr>
        <w:adjustRightInd w:val="0"/>
        <w:snapToGrid w:val="0"/>
        <w:spacing w:line="300" w:lineRule="auto"/>
        <w:outlineLvl w:val="2"/>
      </w:pPr>
      <w:bookmarkStart w:id="4" w:name="_Toc90635194"/>
      <w:r>
        <w:rPr>
          <w:rFonts w:ascii="仿宋" w:eastAsia="仿宋" w:hAnsi="仿宋" w:cs="仿宋"/>
          <w:b/>
          <w:bCs/>
          <w:sz w:val="28"/>
          <w:szCs w:val="28"/>
        </w:rPr>
        <w:t xml:space="preserve">4.3.1 </w:t>
      </w:r>
      <w:r>
        <w:rPr>
          <w:rFonts w:ascii="仿宋" w:eastAsia="仿宋" w:hAnsi="仿宋" w:cs="仿宋" w:hint="eastAsia"/>
          <w:b/>
          <w:bCs/>
          <w:sz w:val="28"/>
          <w:szCs w:val="28"/>
        </w:rPr>
        <w:t>模块化教学</w:t>
      </w:r>
      <w:r>
        <w:rPr>
          <w:rFonts w:ascii="仿宋" w:eastAsia="仿宋" w:hAnsi="仿宋" w:cs="仿宋"/>
          <w:b/>
          <w:bCs/>
          <w:sz w:val="28"/>
          <w:szCs w:val="28"/>
        </w:rPr>
        <w:t>-19</w:t>
      </w:r>
      <w:r>
        <w:rPr>
          <w:rFonts w:ascii="仿宋" w:eastAsia="仿宋" w:hAnsi="仿宋" w:cs="仿宋" w:hint="eastAsia"/>
          <w:b/>
          <w:bCs/>
          <w:sz w:val="28"/>
          <w:szCs w:val="28"/>
        </w:rPr>
        <w:t>个教学模块</w:t>
      </w:r>
      <w:bookmarkEnd w:id="4"/>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3371"/>
        <w:gridCol w:w="3838"/>
      </w:tblGrid>
      <w:tr w:rsidR="009025F1" w14:paraId="7429CE35"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4F81BD"/>
            <w:vAlign w:val="center"/>
          </w:tcPr>
          <w:p w14:paraId="661522A7" w14:textId="77777777" w:rsidR="009025F1" w:rsidRDefault="009025F1" w:rsidP="007A5EF9">
            <w:pPr>
              <w:tabs>
                <w:tab w:val="left" w:pos="-720"/>
              </w:tabs>
              <w:suppressAutoHyphens/>
              <w:rPr>
                <w:rFonts w:ascii="仿宋" w:eastAsia="仿宋" w:hAnsi="仿宋" w:cs="仿宋"/>
                <w:color w:val="FFFFFF"/>
                <w:sz w:val="24"/>
                <w:szCs w:val="24"/>
              </w:rPr>
            </w:pPr>
            <w:r>
              <w:rPr>
                <w:rFonts w:ascii="仿宋" w:eastAsia="仿宋" w:hAnsi="仿宋" w:cs="仿宋" w:hint="eastAsia"/>
                <w:color w:val="FFFFFF"/>
                <w:sz w:val="24"/>
                <w:szCs w:val="24"/>
              </w:rPr>
              <w:t>课次号</w:t>
            </w:r>
          </w:p>
        </w:tc>
        <w:tc>
          <w:tcPr>
            <w:tcW w:w="3371" w:type="dxa"/>
            <w:tcBorders>
              <w:top w:val="single" w:sz="8" w:space="0" w:color="4F81BD"/>
              <w:left w:val="dotted" w:sz="4" w:space="0" w:color="auto"/>
              <w:bottom w:val="single" w:sz="8" w:space="0" w:color="4F81BD"/>
              <w:right w:val="dotted" w:sz="4" w:space="0" w:color="auto"/>
            </w:tcBorders>
            <w:shd w:val="clear" w:color="auto" w:fill="4F81BD"/>
            <w:vAlign w:val="center"/>
          </w:tcPr>
          <w:p w14:paraId="53DF3C61" w14:textId="77777777" w:rsidR="009025F1" w:rsidRDefault="009025F1" w:rsidP="007A5EF9">
            <w:pPr>
              <w:tabs>
                <w:tab w:val="left" w:pos="-720"/>
              </w:tabs>
              <w:suppressAutoHyphens/>
              <w:rPr>
                <w:rFonts w:ascii="仿宋" w:eastAsia="仿宋" w:hAnsi="仿宋" w:cs="仿宋"/>
                <w:color w:val="FFFFFF"/>
                <w:sz w:val="24"/>
                <w:szCs w:val="24"/>
              </w:rPr>
            </w:pPr>
            <w:r>
              <w:rPr>
                <w:rFonts w:ascii="仿宋" w:eastAsia="仿宋" w:hAnsi="仿宋" w:cs="仿宋" w:hint="eastAsia"/>
                <w:color w:val="FFFFFF"/>
                <w:sz w:val="24"/>
                <w:szCs w:val="24"/>
              </w:rPr>
              <w:t>教学内容及教学模块</w:t>
            </w:r>
          </w:p>
        </w:tc>
        <w:tc>
          <w:tcPr>
            <w:tcW w:w="3838" w:type="dxa"/>
            <w:tcBorders>
              <w:top w:val="single" w:sz="8" w:space="0" w:color="4F81BD"/>
              <w:left w:val="dotted" w:sz="4" w:space="0" w:color="auto"/>
              <w:bottom w:val="single" w:sz="8" w:space="0" w:color="4F81BD"/>
              <w:right w:val="single" w:sz="8" w:space="0" w:color="4F81BD"/>
            </w:tcBorders>
            <w:shd w:val="clear" w:color="auto" w:fill="4F81BD"/>
            <w:vAlign w:val="center"/>
          </w:tcPr>
          <w:p w14:paraId="361C3BAB" w14:textId="77777777" w:rsidR="009025F1" w:rsidRDefault="009025F1" w:rsidP="007A5EF9">
            <w:pPr>
              <w:tabs>
                <w:tab w:val="left" w:pos="-720"/>
              </w:tabs>
              <w:suppressAutoHyphens/>
              <w:rPr>
                <w:rFonts w:ascii="仿宋" w:eastAsia="仿宋" w:hAnsi="仿宋" w:cs="仿宋"/>
                <w:color w:val="FFFFFF"/>
                <w:sz w:val="24"/>
                <w:szCs w:val="24"/>
              </w:rPr>
            </w:pPr>
            <w:r>
              <w:rPr>
                <w:rFonts w:ascii="仿宋" w:eastAsia="仿宋" w:hAnsi="仿宋" w:cs="仿宋" w:hint="eastAsia"/>
                <w:color w:val="FFFFFF"/>
                <w:sz w:val="24"/>
                <w:szCs w:val="24"/>
              </w:rPr>
              <w:t>教学目标</w:t>
            </w:r>
          </w:p>
        </w:tc>
      </w:tr>
      <w:tr w:rsidR="009025F1" w14:paraId="41527F32"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2D8C536"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51126921"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油气集输概述</w:t>
            </w:r>
          </w:p>
          <w:p w14:paraId="4A57FFE4"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西川</w:t>
            </w:r>
            <w:r>
              <w:rPr>
                <w:rFonts w:ascii="仿宋" w:eastAsia="仿宋" w:hAnsi="仿宋" w:cs="仿宋"/>
                <w:color w:val="000000"/>
                <w:sz w:val="24"/>
                <w:szCs w:val="24"/>
              </w:rPr>
              <w:t>PG</w:t>
            </w:r>
            <w:r>
              <w:rPr>
                <w:rFonts w:ascii="仿宋" w:eastAsia="仿宋" w:hAnsi="仿宋" w:cs="仿宋" w:hint="eastAsia"/>
                <w:color w:val="000000"/>
                <w:sz w:val="24"/>
                <w:szCs w:val="24"/>
              </w:rPr>
              <w:t>酸性凝析油气藏集输系统设计</w:t>
            </w:r>
          </w:p>
        </w:tc>
        <w:tc>
          <w:tcPr>
            <w:tcW w:w="3838" w:type="dxa"/>
            <w:vMerge w:val="restart"/>
            <w:tcBorders>
              <w:top w:val="single" w:sz="8" w:space="0" w:color="4F81BD"/>
              <w:left w:val="dotted" w:sz="4" w:space="0" w:color="auto"/>
              <w:bottom w:val="single" w:sz="8" w:space="0" w:color="4F81BD"/>
              <w:right w:val="single" w:sz="8" w:space="0" w:color="4F81BD"/>
            </w:tcBorders>
            <w:shd w:val="clear" w:color="auto" w:fill="FFFFFF"/>
            <w:vAlign w:val="center"/>
          </w:tcPr>
          <w:p w14:paraId="2D00A3B3" w14:textId="77777777" w:rsidR="009025F1" w:rsidRDefault="009025F1" w:rsidP="009025F1">
            <w:pPr>
              <w:numPr>
                <w:ilvl w:val="0"/>
                <w:numId w:val="3"/>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了解油气田地面工程的基本知识和概念</w:t>
            </w:r>
          </w:p>
          <w:p w14:paraId="0C94C3A7" w14:textId="77777777" w:rsidR="009025F1" w:rsidRDefault="009025F1" w:rsidP="009025F1">
            <w:pPr>
              <w:numPr>
                <w:ilvl w:val="0"/>
                <w:numId w:val="3"/>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掌握油气集输系统的基本概念以及在石油工业中的地位和作用</w:t>
            </w:r>
          </w:p>
          <w:p w14:paraId="422284EE" w14:textId="77777777" w:rsidR="009025F1" w:rsidRPr="00314520" w:rsidRDefault="009025F1" w:rsidP="009025F1">
            <w:pPr>
              <w:numPr>
                <w:ilvl w:val="0"/>
                <w:numId w:val="3"/>
              </w:numPr>
              <w:suppressAutoHyphens/>
              <w:snapToGrid w:val="0"/>
              <w:rPr>
                <w:rFonts w:ascii="仿宋" w:eastAsia="仿宋" w:hAnsi="仿宋" w:cs="仿宋"/>
                <w:color w:val="000000"/>
                <w:spacing w:val="-3"/>
                <w:sz w:val="24"/>
                <w:szCs w:val="24"/>
                <w:lang w:val="en-GB"/>
              </w:rPr>
            </w:pPr>
            <w:r w:rsidRPr="00314520">
              <w:rPr>
                <w:rFonts w:ascii="仿宋" w:eastAsia="仿宋" w:hAnsi="仿宋" w:cs="仿宋" w:hint="eastAsia"/>
                <w:color w:val="000000"/>
                <w:spacing w:val="-3"/>
                <w:sz w:val="24"/>
                <w:szCs w:val="24"/>
                <w:lang w:val="en-GB"/>
              </w:rPr>
              <w:t>理解油气集输流程设计的基本原则</w:t>
            </w:r>
          </w:p>
        </w:tc>
      </w:tr>
      <w:tr w:rsidR="009025F1" w14:paraId="3D23EBC2"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14E667C0"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2</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6626E845"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油气集输流程</w:t>
            </w:r>
          </w:p>
          <w:p w14:paraId="7DA98FC1"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大庆</w:t>
            </w:r>
            <w:r>
              <w:rPr>
                <w:rFonts w:ascii="仿宋" w:eastAsia="仿宋" w:hAnsi="仿宋" w:cs="仿宋"/>
                <w:color w:val="000000"/>
                <w:sz w:val="24"/>
                <w:szCs w:val="24"/>
              </w:rPr>
              <w:t>SET</w:t>
            </w:r>
            <w:r>
              <w:rPr>
                <w:rFonts w:ascii="仿宋" w:eastAsia="仿宋" w:hAnsi="仿宋" w:cs="仿宋" w:hint="eastAsia"/>
                <w:color w:val="000000"/>
                <w:sz w:val="24"/>
                <w:szCs w:val="24"/>
              </w:rPr>
              <w:t>高寒地区易凝原油集油流程设计</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6CFCE682" w14:textId="77777777" w:rsidR="009025F1" w:rsidRDefault="009025F1" w:rsidP="007A5EF9">
            <w:pPr>
              <w:tabs>
                <w:tab w:val="left" w:pos="-720"/>
              </w:tabs>
              <w:suppressAutoHyphens/>
              <w:rPr>
                <w:rFonts w:ascii="仿宋" w:eastAsia="仿宋" w:hAnsi="仿宋" w:cs="仿宋"/>
                <w:color w:val="000000"/>
                <w:sz w:val="24"/>
                <w:szCs w:val="24"/>
              </w:rPr>
            </w:pPr>
          </w:p>
        </w:tc>
      </w:tr>
      <w:tr w:rsidR="009025F1" w14:paraId="30A33F0A"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261845E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3</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0C3F3D6A"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多相流特点与气液两相流型</w:t>
            </w:r>
          </w:p>
          <w:p w14:paraId="7123B457"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南海</w:t>
            </w:r>
            <w:r>
              <w:rPr>
                <w:rFonts w:ascii="仿宋" w:eastAsia="仿宋" w:hAnsi="仿宋" w:cs="仿宋"/>
                <w:color w:val="000000"/>
                <w:sz w:val="24"/>
                <w:szCs w:val="24"/>
              </w:rPr>
              <w:t>LW</w:t>
            </w:r>
            <w:r>
              <w:rPr>
                <w:rFonts w:ascii="仿宋" w:eastAsia="仿宋" w:hAnsi="仿宋" w:cs="仿宋" w:hint="eastAsia"/>
                <w:color w:val="000000"/>
                <w:sz w:val="24"/>
                <w:szCs w:val="24"/>
              </w:rPr>
              <w:t>海底立管严重段塞流的控制</w:t>
            </w:r>
          </w:p>
        </w:tc>
        <w:tc>
          <w:tcPr>
            <w:tcW w:w="3838" w:type="dxa"/>
            <w:vMerge w:val="restart"/>
            <w:tcBorders>
              <w:top w:val="single" w:sz="8" w:space="0" w:color="4F81BD"/>
              <w:left w:val="dotted" w:sz="4" w:space="0" w:color="auto"/>
              <w:bottom w:val="single" w:sz="8" w:space="0" w:color="4F81BD"/>
              <w:right w:val="single" w:sz="8" w:space="0" w:color="4F81BD"/>
            </w:tcBorders>
            <w:shd w:val="clear" w:color="auto" w:fill="FFFFFF"/>
            <w:vAlign w:val="center"/>
          </w:tcPr>
          <w:p w14:paraId="01CA6D96" w14:textId="77777777" w:rsidR="009025F1" w:rsidRPr="00314520" w:rsidRDefault="009025F1" w:rsidP="007A5EF9">
            <w:pPr>
              <w:numPr>
                <w:ilvl w:val="0"/>
                <w:numId w:val="6"/>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掌握气液两相管流的基本概念</w:t>
            </w:r>
          </w:p>
          <w:p w14:paraId="4DDAD042" w14:textId="77777777" w:rsidR="009025F1" w:rsidRDefault="009025F1" w:rsidP="007A5EF9">
            <w:pPr>
              <w:numPr>
                <w:ilvl w:val="0"/>
                <w:numId w:val="6"/>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掌握气液两管流水力计算的方法</w:t>
            </w:r>
          </w:p>
          <w:p w14:paraId="5E7459BB" w14:textId="77777777" w:rsidR="009025F1" w:rsidRPr="00314520" w:rsidRDefault="009025F1" w:rsidP="007A5EF9">
            <w:pPr>
              <w:numPr>
                <w:ilvl w:val="0"/>
                <w:numId w:val="6"/>
              </w:numPr>
              <w:suppressAutoHyphens/>
              <w:snapToGrid w:val="0"/>
              <w:rPr>
                <w:rFonts w:ascii="仿宋" w:eastAsia="仿宋" w:hAnsi="仿宋" w:cs="仿宋"/>
                <w:color w:val="000000"/>
                <w:spacing w:val="-3"/>
                <w:sz w:val="24"/>
                <w:szCs w:val="24"/>
                <w:lang w:val="en-GB"/>
              </w:rPr>
            </w:pPr>
            <w:r w:rsidRPr="00314520">
              <w:rPr>
                <w:rFonts w:ascii="仿宋" w:eastAsia="仿宋" w:hAnsi="仿宋" w:cs="仿宋" w:hint="eastAsia"/>
                <w:color w:val="000000"/>
                <w:spacing w:val="-3"/>
                <w:sz w:val="24"/>
                <w:szCs w:val="24"/>
                <w:lang w:val="en-GB"/>
              </w:rPr>
              <w:t>理解气液两相流管道的运行管理的原则和方法</w:t>
            </w:r>
          </w:p>
        </w:tc>
      </w:tr>
      <w:tr w:rsidR="009025F1" w14:paraId="25F57ECA"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1B62FE3"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4</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4557D55B"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气液混输工艺计算与计量</w:t>
            </w:r>
          </w:p>
          <w:p w14:paraId="55A0DF3F" w14:textId="77777777" w:rsidR="009025F1" w:rsidRDefault="009025F1" w:rsidP="007A5EF9">
            <w:pPr>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山西煤层气</w:t>
            </w:r>
            <w:r>
              <w:rPr>
                <w:rFonts w:ascii="仿宋" w:eastAsia="仿宋" w:hAnsi="仿宋" w:cs="仿宋"/>
                <w:color w:val="000000"/>
                <w:sz w:val="24"/>
                <w:szCs w:val="24"/>
              </w:rPr>
              <w:t>LX</w:t>
            </w:r>
            <w:r>
              <w:rPr>
                <w:rFonts w:ascii="仿宋" w:eastAsia="仿宋" w:hAnsi="仿宋" w:cs="仿宋" w:hint="eastAsia"/>
                <w:color w:val="000000"/>
                <w:sz w:val="24"/>
                <w:szCs w:val="24"/>
              </w:rPr>
              <w:t>多气合采集输管道工艺设计</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17A166E8"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r w:rsidR="009025F1" w14:paraId="6CF582AC"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560DE12D"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5</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6D84545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气液输送分离原理及典型工艺设备</w:t>
            </w:r>
          </w:p>
          <w:p w14:paraId="08A54589"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经典气液两相卧式及立式分离器设计</w:t>
            </w:r>
          </w:p>
        </w:tc>
        <w:tc>
          <w:tcPr>
            <w:tcW w:w="3838" w:type="dxa"/>
            <w:vMerge w:val="restart"/>
            <w:tcBorders>
              <w:top w:val="single" w:sz="8" w:space="0" w:color="4F81BD"/>
              <w:left w:val="dotted" w:sz="4" w:space="0" w:color="auto"/>
              <w:bottom w:val="single" w:sz="8" w:space="0" w:color="4F81BD"/>
              <w:right w:val="single" w:sz="8" w:space="0" w:color="4F81BD"/>
            </w:tcBorders>
            <w:shd w:val="clear" w:color="auto" w:fill="FFFFFF"/>
            <w:vAlign w:val="center"/>
          </w:tcPr>
          <w:p w14:paraId="476952D7" w14:textId="77777777" w:rsidR="009025F1" w:rsidRPr="00314520" w:rsidRDefault="009025F1" w:rsidP="007A5EF9">
            <w:pPr>
              <w:numPr>
                <w:ilvl w:val="0"/>
                <w:numId w:val="7"/>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掌握油气分离的的概念、原理和意义</w:t>
            </w:r>
          </w:p>
          <w:p w14:paraId="2E9BD32E" w14:textId="77777777" w:rsidR="009025F1" w:rsidRPr="00314520" w:rsidRDefault="009025F1" w:rsidP="007A5EF9">
            <w:pPr>
              <w:numPr>
                <w:ilvl w:val="0"/>
                <w:numId w:val="7"/>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掌握油气分离器的类型和特点</w:t>
            </w:r>
          </w:p>
          <w:p w14:paraId="2B0153B8" w14:textId="77777777" w:rsidR="009025F1" w:rsidRDefault="009025F1" w:rsidP="007A5EF9">
            <w:pPr>
              <w:numPr>
                <w:ilvl w:val="0"/>
                <w:numId w:val="7"/>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了解油气分离器的设计参数及设计原则</w:t>
            </w:r>
          </w:p>
        </w:tc>
      </w:tr>
      <w:tr w:rsidR="009025F1" w14:paraId="35BB4576"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21A2EF9B"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6</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02CECF2D"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分离器结构及三相分离器</w:t>
            </w:r>
          </w:p>
          <w:p w14:paraId="52EE97D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大庆新型高效三相分离器设计</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2644BAB4"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r w:rsidR="009025F1" w14:paraId="08319A30"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6C6490F0"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7</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6919358E"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气液分离器尺寸的设计</w:t>
            </w:r>
          </w:p>
          <w:p w14:paraId="072877D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段塞捕集器的设计</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368ADC48"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r w:rsidR="009025F1" w14:paraId="0EE5633D"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71F4E9B8"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8</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5BB72038"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原油乳状液形成机理及其基本性质</w:t>
            </w:r>
          </w:p>
          <w:p w14:paraId="1B5BDF3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大庆仰角翼版式高效油水分离装置设计</w:t>
            </w:r>
          </w:p>
        </w:tc>
        <w:tc>
          <w:tcPr>
            <w:tcW w:w="3838" w:type="dxa"/>
            <w:vMerge w:val="restart"/>
            <w:tcBorders>
              <w:top w:val="single" w:sz="8" w:space="0" w:color="4F81BD"/>
              <w:left w:val="dotted" w:sz="4" w:space="0" w:color="auto"/>
              <w:bottom w:val="single" w:sz="8" w:space="0" w:color="4F81BD"/>
              <w:right w:val="single" w:sz="8" w:space="0" w:color="4F81BD"/>
            </w:tcBorders>
            <w:shd w:val="clear" w:color="auto" w:fill="FFFFFF"/>
            <w:vAlign w:val="center"/>
          </w:tcPr>
          <w:p w14:paraId="2E8FC0F0" w14:textId="77777777" w:rsidR="009025F1" w:rsidRDefault="009025F1" w:rsidP="007A5EF9">
            <w:pPr>
              <w:numPr>
                <w:ilvl w:val="0"/>
                <w:numId w:val="8"/>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原油乳化液的的概念和性质</w:t>
            </w:r>
          </w:p>
          <w:p w14:paraId="5BE97D3E" w14:textId="77777777" w:rsidR="009025F1" w:rsidRDefault="009025F1" w:rsidP="007A5EF9">
            <w:pPr>
              <w:numPr>
                <w:ilvl w:val="0"/>
                <w:numId w:val="8"/>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掌握原油脱水的基本方法</w:t>
            </w:r>
          </w:p>
          <w:p w14:paraId="2776AD5C" w14:textId="77777777" w:rsidR="009025F1" w:rsidRDefault="009025F1" w:rsidP="007A5EF9">
            <w:pPr>
              <w:numPr>
                <w:ilvl w:val="0"/>
                <w:numId w:val="8"/>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掌握原油除砂及脱盐的工艺流程及设备</w:t>
            </w:r>
          </w:p>
        </w:tc>
      </w:tr>
      <w:tr w:rsidR="009025F1" w14:paraId="322FE848"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111CD336"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9</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19DF6D00"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原油破乳及原油脱水方法</w:t>
            </w:r>
          </w:p>
          <w:p w14:paraId="2B655D30"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高温热化学脱水装置设计</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6AB4B926"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r w:rsidR="009025F1" w14:paraId="320D8F33"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72EEE732"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10</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52286F96"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原油静电脱水或原油脱砂脱盐</w:t>
            </w:r>
          </w:p>
          <w:p w14:paraId="744DA23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lastRenderedPageBreak/>
              <w:t>教学模块</w:t>
            </w:r>
            <w:r>
              <w:rPr>
                <w:rFonts w:ascii="仿宋" w:eastAsia="仿宋" w:hAnsi="仿宋" w:cs="仿宋"/>
                <w:color w:val="000000"/>
                <w:sz w:val="24"/>
                <w:szCs w:val="24"/>
              </w:rPr>
              <w:t xml:space="preserve">—— </w:t>
            </w:r>
            <w:r>
              <w:rPr>
                <w:rFonts w:ascii="仿宋" w:eastAsia="仿宋" w:hAnsi="仿宋" w:cs="仿宋" w:hint="eastAsia"/>
                <w:color w:val="000000"/>
                <w:sz w:val="24"/>
                <w:szCs w:val="24"/>
              </w:rPr>
              <w:t>大庆“四合一”装置设计</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6155C258"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r w:rsidR="009025F1" w14:paraId="2AE0C2E1"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4D3B5A37"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11</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7900BCC7"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原油稳定</w:t>
            </w:r>
          </w:p>
          <w:p w14:paraId="2C572577"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小规模高效原油稳定装置设计</w:t>
            </w:r>
          </w:p>
        </w:tc>
        <w:tc>
          <w:tcPr>
            <w:tcW w:w="3838" w:type="dxa"/>
            <w:tcBorders>
              <w:top w:val="single" w:sz="8" w:space="0" w:color="4F81BD"/>
              <w:left w:val="dotted" w:sz="4" w:space="0" w:color="auto"/>
              <w:bottom w:val="single" w:sz="8" w:space="0" w:color="4F81BD"/>
              <w:right w:val="single" w:sz="8" w:space="0" w:color="4F81BD"/>
            </w:tcBorders>
            <w:shd w:val="clear" w:color="auto" w:fill="FFFFFF"/>
            <w:vAlign w:val="center"/>
          </w:tcPr>
          <w:p w14:paraId="264513C8" w14:textId="77777777" w:rsidR="009025F1" w:rsidRDefault="009025F1" w:rsidP="009025F1">
            <w:pPr>
              <w:numPr>
                <w:ilvl w:val="0"/>
                <w:numId w:val="4"/>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掌握原油稳定的概念、原理和意义</w:t>
            </w:r>
          </w:p>
          <w:p w14:paraId="4314B96C" w14:textId="77777777" w:rsidR="009025F1" w:rsidRDefault="009025F1" w:rsidP="009025F1">
            <w:pPr>
              <w:numPr>
                <w:ilvl w:val="0"/>
                <w:numId w:val="4"/>
              </w:numPr>
              <w:suppressAutoHyphens/>
              <w:snapToGrid w:val="0"/>
              <w:rPr>
                <w:rFonts w:ascii="仿宋" w:eastAsia="仿宋" w:hAnsi="仿宋" w:cs="仿宋"/>
                <w:color w:val="000000"/>
                <w:spacing w:val="-3"/>
                <w:sz w:val="24"/>
                <w:szCs w:val="24"/>
              </w:rPr>
            </w:pPr>
            <w:r>
              <w:rPr>
                <w:rFonts w:ascii="仿宋" w:eastAsia="仿宋" w:hAnsi="仿宋" w:cs="仿宋" w:hint="eastAsia"/>
                <w:color w:val="000000"/>
                <w:spacing w:val="-3"/>
                <w:sz w:val="24"/>
                <w:szCs w:val="24"/>
                <w:lang w:val="en-GB"/>
              </w:rPr>
              <w:t>掌握原油稳定的常见方法和选择原则</w:t>
            </w:r>
          </w:p>
          <w:p w14:paraId="0D1A2EF1" w14:textId="77777777" w:rsidR="009025F1" w:rsidRPr="00314520" w:rsidRDefault="009025F1" w:rsidP="009025F1">
            <w:pPr>
              <w:numPr>
                <w:ilvl w:val="0"/>
                <w:numId w:val="4"/>
              </w:numPr>
              <w:suppressAutoHyphens/>
              <w:snapToGrid w:val="0"/>
              <w:rPr>
                <w:rFonts w:ascii="仿宋" w:eastAsia="仿宋" w:hAnsi="仿宋" w:cs="仿宋"/>
                <w:color w:val="000000"/>
                <w:spacing w:val="-3"/>
                <w:sz w:val="24"/>
                <w:szCs w:val="24"/>
              </w:rPr>
            </w:pPr>
            <w:r>
              <w:rPr>
                <w:rFonts w:ascii="仿宋" w:eastAsia="仿宋" w:hAnsi="仿宋" w:cs="仿宋" w:hint="eastAsia"/>
                <w:color w:val="000000"/>
                <w:spacing w:val="-3"/>
                <w:sz w:val="24"/>
                <w:szCs w:val="24"/>
              </w:rPr>
              <w:t>掌握原油稳定的主要</w:t>
            </w:r>
            <w:r>
              <w:rPr>
                <w:rFonts w:ascii="仿宋" w:eastAsia="仿宋" w:hAnsi="仿宋" w:cs="仿宋" w:hint="eastAsia"/>
                <w:color w:val="000000"/>
                <w:spacing w:val="-3"/>
                <w:sz w:val="24"/>
                <w:szCs w:val="24"/>
                <w:lang w:val="en-GB"/>
              </w:rPr>
              <w:t>流程及工艺参数的选择</w:t>
            </w:r>
          </w:p>
          <w:p w14:paraId="40878AB3" w14:textId="77777777" w:rsidR="009025F1" w:rsidRPr="00314520" w:rsidRDefault="009025F1" w:rsidP="009025F1">
            <w:pPr>
              <w:numPr>
                <w:ilvl w:val="0"/>
                <w:numId w:val="4"/>
              </w:numPr>
              <w:suppressAutoHyphens/>
              <w:snapToGrid w:val="0"/>
              <w:rPr>
                <w:rFonts w:ascii="仿宋" w:eastAsia="仿宋" w:hAnsi="仿宋" w:cs="仿宋"/>
                <w:color w:val="000000"/>
                <w:spacing w:val="-3"/>
                <w:sz w:val="24"/>
                <w:szCs w:val="24"/>
              </w:rPr>
            </w:pPr>
            <w:r w:rsidRPr="00314520">
              <w:rPr>
                <w:rFonts w:ascii="仿宋" w:eastAsia="仿宋" w:hAnsi="仿宋" w:cs="仿宋" w:hint="eastAsia"/>
                <w:color w:val="000000"/>
                <w:spacing w:val="-3"/>
                <w:sz w:val="24"/>
                <w:szCs w:val="24"/>
                <w:lang w:val="en-GB"/>
              </w:rPr>
              <w:t>掌握原油稳定的常见设备</w:t>
            </w:r>
          </w:p>
        </w:tc>
      </w:tr>
      <w:tr w:rsidR="009025F1" w14:paraId="27168E64"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BA10104"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12</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3AB0B0A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天然气集输与处理</w:t>
            </w:r>
          </w:p>
          <w:p w14:paraId="2776957F"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西南</w:t>
            </w:r>
            <w:r>
              <w:rPr>
                <w:rFonts w:ascii="仿宋" w:eastAsia="仿宋" w:hAnsi="仿宋" w:cs="仿宋"/>
                <w:color w:val="000000"/>
                <w:sz w:val="24"/>
                <w:szCs w:val="24"/>
              </w:rPr>
              <w:t>MX</w:t>
            </w:r>
            <w:r>
              <w:rPr>
                <w:rFonts w:ascii="仿宋" w:eastAsia="仿宋" w:hAnsi="仿宋" w:cs="仿宋" w:hint="eastAsia"/>
                <w:color w:val="000000"/>
                <w:sz w:val="24"/>
                <w:szCs w:val="24"/>
              </w:rPr>
              <w:t>气田天然南区净化厂系统设计</w:t>
            </w:r>
          </w:p>
        </w:tc>
        <w:tc>
          <w:tcPr>
            <w:tcW w:w="3838" w:type="dxa"/>
            <w:vMerge w:val="restart"/>
            <w:tcBorders>
              <w:top w:val="single" w:sz="8" w:space="0" w:color="4F81BD"/>
              <w:left w:val="dotted" w:sz="4" w:space="0" w:color="auto"/>
              <w:bottom w:val="single" w:sz="8" w:space="0" w:color="4F81BD"/>
              <w:right w:val="single" w:sz="8" w:space="0" w:color="4F81BD"/>
            </w:tcBorders>
            <w:shd w:val="clear" w:color="auto" w:fill="FFFFFF"/>
            <w:vAlign w:val="center"/>
          </w:tcPr>
          <w:p w14:paraId="0B51E8E7" w14:textId="77777777" w:rsidR="009025F1" w:rsidRDefault="009025F1" w:rsidP="009025F1">
            <w:pPr>
              <w:numPr>
                <w:ilvl w:val="0"/>
                <w:numId w:val="5"/>
              </w:numPr>
              <w:suppressAutoHyphens/>
              <w:snapToGrid w:val="0"/>
              <w:rPr>
                <w:rFonts w:ascii="仿宋" w:eastAsia="仿宋" w:hAnsi="仿宋" w:cs="仿宋"/>
                <w:color w:val="000000"/>
                <w:spacing w:val="-3"/>
                <w:sz w:val="24"/>
                <w:szCs w:val="24"/>
              </w:rPr>
            </w:pPr>
            <w:r>
              <w:rPr>
                <w:rFonts w:ascii="仿宋" w:eastAsia="仿宋" w:hAnsi="仿宋" w:cs="仿宋" w:hint="eastAsia"/>
                <w:color w:val="000000"/>
                <w:spacing w:val="-3"/>
                <w:sz w:val="24"/>
                <w:szCs w:val="24"/>
                <w:lang w:val="en-GB"/>
              </w:rPr>
              <w:t>了解气田矿场集输流程的概念和组成</w:t>
            </w:r>
          </w:p>
          <w:p w14:paraId="6060AF7F" w14:textId="77777777" w:rsidR="009025F1" w:rsidRDefault="009025F1" w:rsidP="009025F1">
            <w:pPr>
              <w:numPr>
                <w:ilvl w:val="0"/>
                <w:numId w:val="5"/>
              </w:numPr>
              <w:suppressAutoHyphens/>
              <w:snapToGrid w:val="0"/>
              <w:rPr>
                <w:rFonts w:ascii="仿宋" w:eastAsia="仿宋" w:hAnsi="仿宋" w:cs="仿宋"/>
                <w:color w:val="000000"/>
                <w:spacing w:val="-3"/>
                <w:sz w:val="24"/>
                <w:szCs w:val="24"/>
              </w:rPr>
            </w:pPr>
            <w:r>
              <w:rPr>
                <w:rFonts w:ascii="仿宋" w:eastAsia="仿宋" w:hAnsi="仿宋" w:cs="仿宋" w:hint="eastAsia"/>
                <w:color w:val="000000"/>
                <w:spacing w:val="-3"/>
                <w:sz w:val="24"/>
                <w:szCs w:val="24"/>
                <w:lang w:val="en-GB"/>
              </w:rPr>
              <w:t>掌握天然气脱酸原理、方法和设备选择</w:t>
            </w:r>
          </w:p>
          <w:p w14:paraId="78398336" w14:textId="77777777" w:rsidR="009025F1" w:rsidRPr="00314520" w:rsidRDefault="009025F1" w:rsidP="009025F1">
            <w:pPr>
              <w:numPr>
                <w:ilvl w:val="0"/>
                <w:numId w:val="5"/>
              </w:numPr>
              <w:suppressAutoHyphens/>
              <w:snapToGrid w:val="0"/>
              <w:rPr>
                <w:rFonts w:ascii="仿宋" w:eastAsia="仿宋" w:hAnsi="仿宋" w:cs="仿宋"/>
                <w:color w:val="000000"/>
                <w:spacing w:val="-3"/>
                <w:sz w:val="24"/>
                <w:szCs w:val="24"/>
              </w:rPr>
            </w:pPr>
            <w:r>
              <w:rPr>
                <w:rFonts w:ascii="仿宋" w:eastAsia="仿宋" w:hAnsi="仿宋" w:cs="仿宋" w:hint="eastAsia"/>
                <w:color w:val="000000"/>
                <w:spacing w:val="-3"/>
                <w:sz w:val="24"/>
                <w:szCs w:val="24"/>
              </w:rPr>
              <w:t>掌握</w:t>
            </w:r>
            <w:r>
              <w:rPr>
                <w:rFonts w:ascii="仿宋" w:eastAsia="仿宋" w:hAnsi="仿宋" w:cs="仿宋" w:hint="eastAsia"/>
                <w:color w:val="000000"/>
                <w:spacing w:val="-3"/>
                <w:sz w:val="24"/>
                <w:szCs w:val="24"/>
                <w:lang w:val="en-GB"/>
              </w:rPr>
              <w:t>天然气水合物的生成原理和防治方法</w:t>
            </w:r>
          </w:p>
          <w:p w14:paraId="516B93EB" w14:textId="77777777" w:rsidR="009025F1" w:rsidRPr="00314520" w:rsidRDefault="009025F1" w:rsidP="009025F1">
            <w:pPr>
              <w:numPr>
                <w:ilvl w:val="0"/>
                <w:numId w:val="5"/>
              </w:numPr>
              <w:suppressAutoHyphens/>
              <w:snapToGrid w:val="0"/>
              <w:rPr>
                <w:rFonts w:ascii="仿宋" w:eastAsia="仿宋" w:hAnsi="仿宋" w:cs="仿宋"/>
                <w:color w:val="000000"/>
                <w:spacing w:val="-3"/>
                <w:sz w:val="24"/>
                <w:szCs w:val="24"/>
              </w:rPr>
            </w:pPr>
            <w:r w:rsidRPr="00314520">
              <w:rPr>
                <w:rFonts w:ascii="仿宋" w:eastAsia="仿宋" w:hAnsi="仿宋" w:cs="仿宋" w:hint="eastAsia"/>
                <w:color w:val="000000"/>
                <w:spacing w:val="-3"/>
                <w:sz w:val="24"/>
                <w:szCs w:val="24"/>
                <w:lang w:val="en-GB"/>
              </w:rPr>
              <w:t>掌握天然气脱水原理、方法和设备选择</w:t>
            </w:r>
          </w:p>
        </w:tc>
      </w:tr>
      <w:tr w:rsidR="009025F1" w14:paraId="2E62434E"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27615B03"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13</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5CED3CE8"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天然气脱酸</w:t>
            </w:r>
          </w:p>
          <w:p w14:paraId="144680AD"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中低含硫天然气集中净化处理工艺</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6FC33201"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r w:rsidR="009025F1" w14:paraId="13A6738B"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ABCD364"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14</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090664D2"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天然气脱水</w:t>
            </w:r>
          </w:p>
          <w:p w14:paraId="55567653"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三甘醇脱水工艺与分子筛脱水工艺适应性分析</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7106242B" w14:textId="77777777" w:rsidR="009025F1" w:rsidRDefault="009025F1" w:rsidP="009025F1">
            <w:pPr>
              <w:numPr>
                <w:ilvl w:val="0"/>
                <w:numId w:val="5"/>
              </w:numPr>
              <w:suppressAutoHyphens/>
              <w:snapToGrid w:val="0"/>
              <w:rPr>
                <w:rFonts w:ascii="仿宋" w:eastAsia="仿宋" w:hAnsi="仿宋" w:cs="仿宋"/>
                <w:color w:val="000000"/>
                <w:sz w:val="24"/>
                <w:szCs w:val="24"/>
                <w:lang w:val="en-GB"/>
              </w:rPr>
            </w:pPr>
          </w:p>
        </w:tc>
      </w:tr>
      <w:tr w:rsidR="009025F1" w14:paraId="0BCAE260"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73AB60F4"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15-16</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10B35918"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国家级虚拟仿真课实验教学一流课程“海底油气管道输送系统流动保障虚拟仿真实验”</w:t>
            </w:r>
          </w:p>
          <w:p w14:paraId="4B6DA949"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——LW</w:t>
            </w:r>
            <w:r>
              <w:rPr>
                <w:rFonts w:ascii="仿宋" w:eastAsia="仿宋" w:hAnsi="仿宋" w:cs="仿宋" w:hint="eastAsia"/>
                <w:color w:val="000000"/>
                <w:sz w:val="24"/>
                <w:szCs w:val="24"/>
              </w:rPr>
              <w:t>深水海底流动保障工艺设计</w:t>
            </w:r>
          </w:p>
        </w:tc>
        <w:tc>
          <w:tcPr>
            <w:tcW w:w="3838" w:type="dxa"/>
            <w:tcBorders>
              <w:top w:val="single" w:sz="8" w:space="0" w:color="4F81BD"/>
              <w:left w:val="dotted" w:sz="4" w:space="0" w:color="auto"/>
              <w:bottom w:val="single" w:sz="8" w:space="0" w:color="4F81BD"/>
              <w:right w:val="single" w:sz="8" w:space="0" w:color="4F81BD"/>
            </w:tcBorders>
            <w:shd w:val="clear" w:color="auto" w:fill="FFFFFF"/>
            <w:vAlign w:val="center"/>
          </w:tcPr>
          <w:p w14:paraId="49043EDE" w14:textId="77777777" w:rsidR="009025F1" w:rsidRDefault="009025F1" w:rsidP="007A5EF9">
            <w:pPr>
              <w:numPr>
                <w:ilvl w:val="0"/>
                <w:numId w:val="9"/>
              </w:numPr>
              <w:suppressAutoHyphens/>
              <w:snapToGrid w:val="0"/>
              <w:rPr>
                <w:rFonts w:ascii="仿宋" w:eastAsia="仿宋" w:hAnsi="仿宋" w:cs="仿宋"/>
                <w:color w:val="000000"/>
                <w:spacing w:val="-3"/>
                <w:sz w:val="24"/>
                <w:szCs w:val="24"/>
                <w:lang w:val="en-GB"/>
              </w:rPr>
            </w:pPr>
            <w:r w:rsidRPr="00314520">
              <w:rPr>
                <w:rFonts w:ascii="仿宋" w:eastAsia="仿宋" w:hAnsi="仿宋" w:cs="仿宋" w:hint="eastAsia"/>
                <w:color w:val="000000"/>
                <w:spacing w:val="-3"/>
                <w:sz w:val="24"/>
                <w:szCs w:val="24"/>
                <w:lang w:val="en-GB"/>
              </w:rPr>
              <w:t>掌握海底集输管道系统流动保障设计的关键环节</w:t>
            </w:r>
          </w:p>
          <w:p w14:paraId="42ECB353" w14:textId="77777777" w:rsidR="009025F1" w:rsidRDefault="009025F1" w:rsidP="007A5EF9">
            <w:pPr>
              <w:numPr>
                <w:ilvl w:val="0"/>
                <w:numId w:val="9"/>
              </w:numPr>
              <w:suppressAutoHyphens/>
              <w:snapToGrid w:val="0"/>
              <w:rPr>
                <w:rFonts w:ascii="仿宋" w:eastAsia="仿宋" w:hAnsi="仿宋" w:cs="仿宋"/>
                <w:color w:val="000000"/>
                <w:spacing w:val="-3"/>
                <w:sz w:val="24"/>
                <w:szCs w:val="24"/>
                <w:lang w:val="en-GB"/>
              </w:rPr>
            </w:pPr>
            <w:r w:rsidRPr="00314520">
              <w:rPr>
                <w:rFonts w:ascii="仿宋" w:eastAsia="仿宋" w:hAnsi="仿宋" w:cs="仿宋" w:hint="eastAsia"/>
                <w:color w:val="000000"/>
                <w:spacing w:val="-3"/>
                <w:sz w:val="24"/>
                <w:szCs w:val="24"/>
                <w:lang w:val="en-GB"/>
              </w:rPr>
              <w:t>掌握事故应急分析与举措</w:t>
            </w:r>
          </w:p>
          <w:p w14:paraId="0DA8477B" w14:textId="77777777" w:rsidR="009025F1" w:rsidRDefault="009025F1" w:rsidP="007A5EF9">
            <w:pPr>
              <w:numPr>
                <w:ilvl w:val="0"/>
                <w:numId w:val="9"/>
              </w:numPr>
              <w:suppressAutoHyphens/>
              <w:snapToGrid w:val="0"/>
              <w:rPr>
                <w:rFonts w:ascii="仿宋" w:eastAsia="仿宋" w:hAnsi="仿宋" w:cs="仿宋"/>
                <w:color w:val="000000"/>
                <w:spacing w:val="-3"/>
                <w:sz w:val="24"/>
                <w:szCs w:val="24"/>
                <w:lang w:val="en-GB"/>
              </w:rPr>
            </w:pPr>
            <w:r w:rsidRPr="00314520">
              <w:rPr>
                <w:rFonts w:ascii="仿宋" w:eastAsia="仿宋" w:hAnsi="仿宋" w:cs="仿宋" w:hint="eastAsia"/>
                <w:color w:val="000000"/>
                <w:spacing w:val="-3"/>
                <w:sz w:val="24"/>
                <w:szCs w:val="24"/>
                <w:lang w:val="en-GB"/>
              </w:rPr>
              <w:t>让学生在高仿真度虚拟环境中完成实验教学和生产实际无法实现的可视化、流程控制、事故现象、应急处置等海底管道全生命周期管理的学习</w:t>
            </w:r>
          </w:p>
        </w:tc>
      </w:tr>
      <w:tr w:rsidR="009025F1" w14:paraId="17B4AB09"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15B2232"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17</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203B76D0"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气体加工</w:t>
            </w:r>
          </w:p>
          <w:p w14:paraId="2449C835"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天然气过冷工艺流程</w:t>
            </w:r>
          </w:p>
        </w:tc>
        <w:tc>
          <w:tcPr>
            <w:tcW w:w="3838" w:type="dxa"/>
            <w:tcBorders>
              <w:top w:val="single" w:sz="8" w:space="0" w:color="4F81BD"/>
              <w:left w:val="dotted" w:sz="4" w:space="0" w:color="auto"/>
              <w:bottom w:val="single" w:sz="8" w:space="0" w:color="4F81BD"/>
              <w:right w:val="single" w:sz="8" w:space="0" w:color="4F81BD"/>
            </w:tcBorders>
            <w:shd w:val="clear" w:color="auto" w:fill="FFFFFF"/>
            <w:vAlign w:val="center"/>
          </w:tcPr>
          <w:p w14:paraId="3D925289" w14:textId="77777777" w:rsidR="009025F1" w:rsidRPr="00314520" w:rsidRDefault="009025F1" w:rsidP="007A5EF9">
            <w:pPr>
              <w:numPr>
                <w:ilvl w:val="0"/>
                <w:numId w:val="10"/>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掌握轻烃回收的概念、原理和意义</w:t>
            </w:r>
          </w:p>
          <w:p w14:paraId="31753995" w14:textId="77777777" w:rsidR="009025F1" w:rsidRPr="00314520" w:rsidRDefault="009025F1" w:rsidP="007A5EF9">
            <w:pPr>
              <w:numPr>
                <w:ilvl w:val="0"/>
                <w:numId w:val="10"/>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掌握轻烃回收的常见方法和工艺流程</w:t>
            </w:r>
          </w:p>
          <w:p w14:paraId="792EE92F" w14:textId="77777777" w:rsidR="009025F1" w:rsidRDefault="009025F1" w:rsidP="007A5EF9">
            <w:pPr>
              <w:numPr>
                <w:ilvl w:val="0"/>
                <w:numId w:val="10"/>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了解轻烃回收的设备的类型和原理</w:t>
            </w:r>
          </w:p>
        </w:tc>
      </w:tr>
      <w:tr w:rsidR="009025F1" w14:paraId="154EA747"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9122E99"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18</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19924B26"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污水处理概述</w:t>
            </w:r>
          </w:p>
          <w:p w14:paraId="1C59A0B0"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高效水质净化与稳定技术工艺</w:t>
            </w:r>
          </w:p>
        </w:tc>
        <w:tc>
          <w:tcPr>
            <w:tcW w:w="3838" w:type="dxa"/>
            <w:vMerge w:val="restart"/>
            <w:tcBorders>
              <w:top w:val="single" w:sz="8" w:space="0" w:color="4F81BD"/>
              <w:left w:val="dotted" w:sz="4" w:space="0" w:color="auto"/>
              <w:bottom w:val="single" w:sz="8" w:space="0" w:color="4F81BD"/>
              <w:right w:val="single" w:sz="8" w:space="0" w:color="4F81BD"/>
            </w:tcBorders>
            <w:shd w:val="clear" w:color="auto" w:fill="FFFFFF"/>
            <w:vAlign w:val="center"/>
          </w:tcPr>
          <w:p w14:paraId="35763609" w14:textId="77777777" w:rsidR="009025F1" w:rsidRDefault="009025F1" w:rsidP="007A5EF9">
            <w:pPr>
              <w:numPr>
                <w:ilvl w:val="0"/>
                <w:numId w:val="11"/>
              </w:numPr>
              <w:suppressAutoHyphens/>
              <w:snapToGrid w:val="0"/>
              <w:rPr>
                <w:rFonts w:ascii="仿宋" w:eastAsia="仿宋" w:hAnsi="仿宋" w:cs="仿宋"/>
                <w:color w:val="000000"/>
                <w:spacing w:val="-3"/>
                <w:sz w:val="24"/>
                <w:szCs w:val="24"/>
                <w:lang w:val="en-GB"/>
              </w:rPr>
            </w:pPr>
            <w:r>
              <w:rPr>
                <w:rFonts w:ascii="仿宋" w:eastAsia="仿宋" w:hAnsi="仿宋" w:cs="仿宋" w:hint="eastAsia"/>
                <w:color w:val="000000"/>
                <w:spacing w:val="-3"/>
                <w:sz w:val="24"/>
                <w:szCs w:val="24"/>
                <w:lang w:val="en-GB"/>
              </w:rPr>
              <w:t>掌握油气集输中污水处理的概念、方法和意义</w:t>
            </w:r>
          </w:p>
          <w:p w14:paraId="1303D6A8" w14:textId="77777777" w:rsidR="009025F1" w:rsidRPr="00314520" w:rsidRDefault="009025F1" w:rsidP="007A5EF9">
            <w:pPr>
              <w:numPr>
                <w:ilvl w:val="0"/>
                <w:numId w:val="11"/>
              </w:numPr>
              <w:suppressAutoHyphens/>
              <w:snapToGrid w:val="0"/>
              <w:rPr>
                <w:rFonts w:ascii="仿宋" w:eastAsia="仿宋" w:hAnsi="仿宋" w:cs="仿宋"/>
                <w:color w:val="000000"/>
                <w:spacing w:val="-3"/>
                <w:sz w:val="24"/>
                <w:szCs w:val="24"/>
                <w:lang w:val="en-GB"/>
              </w:rPr>
            </w:pPr>
            <w:r w:rsidRPr="00314520">
              <w:rPr>
                <w:rFonts w:ascii="仿宋" w:eastAsia="仿宋" w:hAnsi="仿宋" w:cs="仿宋" w:hint="eastAsia"/>
                <w:color w:val="000000"/>
                <w:spacing w:val="-3"/>
                <w:sz w:val="24"/>
                <w:szCs w:val="24"/>
                <w:lang w:val="en-GB"/>
              </w:rPr>
              <w:t>掌握污水处理设备的结构和原理</w:t>
            </w:r>
          </w:p>
        </w:tc>
      </w:tr>
      <w:tr w:rsidR="009025F1" w14:paraId="28A4BF69"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57403C5"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19</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4EC16027"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污水处理方法</w:t>
            </w:r>
          </w:p>
          <w:p w14:paraId="6B928BD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气浮与化学除硅等高线采出水处理技术</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700C7300" w14:textId="77777777" w:rsidR="009025F1" w:rsidRDefault="009025F1" w:rsidP="007A5EF9">
            <w:pPr>
              <w:suppressAutoHyphens/>
              <w:snapToGrid w:val="0"/>
              <w:ind w:left="360" w:hanging="360"/>
              <w:rPr>
                <w:rFonts w:ascii="仿宋" w:eastAsia="仿宋" w:hAnsi="仿宋" w:cs="仿宋"/>
                <w:color w:val="000000"/>
                <w:sz w:val="24"/>
                <w:szCs w:val="24"/>
                <w:lang w:val="en-GB"/>
              </w:rPr>
            </w:pPr>
          </w:p>
        </w:tc>
      </w:tr>
      <w:tr w:rsidR="009025F1" w14:paraId="36A0393F" w14:textId="77777777" w:rsidTr="007A5EF9">
        <w:trPr>
          <w:trHeight w:val="545"/>
          <w:jc w:val="center"/>
        </w:trPr>
        <w:tc>
          <w:tcPr>
            <w:tcW w:w="1319" w:type="dxa"/>
            <w:tcBorders>
              <w:top w:val="single" w:sz="8" w:space="0" w:color="4F81BD"/>
              <w:left w:val="single" w:sz="8" w:space="0" w:color="4F81BD"/>
              <w:bottom w:val="single" w:sz="8" w:space="0" w:color="4F81BD"/>
              <w:right w:val="dotted" w:sz="4" w:space="0" w:color="auto"/>
            </w:tcBorders>
            <w:shd w:val="clear" w:color="auto" w:fill="FFFFFF"/>
            <w:vAlign w:val="center"/>
          </w:tcPr>
          <w:p w14:paraId="534FF516"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第</w:t>
            </w:r>
            <w:r>
              <w:rPr>
                <w:rFonts w:ascii="仿宋" w:eastAsia="仿宋" w:hAnsi="仿宋" w:cs="仿宋"/>
                <w:color w:val="000000"/>
                <w:sz w:val="24"/>
                <w:szCs w:val="24"/>
              </w:rPr>
              <w:t>20</w:t>
            </w:r>
            <w:r>
              <w:rPr>
                <w:rFonts w:ascii="仿宋" w:eastAsia="仿宋" w:hAnsi="仿宋" w:cs="仿宋" w:hint="eastAsia"/>
                <w:color w:val="000000"/>
                <w:sz w:val="24"/>
                <w:szCs w:val="24"/>
              </w:rPr>
              <w:t>次课</w:t>
            </w:r>
          </w:p>
        </w:tc>
        <w:tc>
          <w:tcPr>
            <w:tcW w:w="3371" w:type="dxa"/>
            <w:tcBorders>
              <w:top w:val="single" w:sz="8" w:space="0" w:color="4F81BD"/>
              <w:left w:val="dotted" w:sz="4" w:space="0" w:color="auto"/>
              <w:bottom w:val="single" w:sz="8" w:space="0" w:color="4F81BD"/>
              <w:right w:val="dotted" w:sz="4" w:space="0" w:color="auto"/>
            </w:tcBorders>
            <w:shd w:val="clear" w:color="auto" w:fill="FFFFFF"/>
            <w:vAlign w:val="center"/>
          </w:tcPr>
          <w:p w14:paraId="3D7A33F2"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教学内容</w:t>
            </w:r>
            <w:r>
              <w:rPr>
                <w:rFonts w:ascii="仿宋" w:eastAsia="仿宋" w:hAnsi="仿宋" w:cs="仿宋"/>
                <w:color w:val="000000"/>
                <w:sz w:val="24"/>
                <w:szCs w:val="24"/>
              </w:rPr>
              <w:t>——</w:t>
            </w:r>
            <w:r>
              <w:rPr>
                <w:rFonts w:ascii="仿宋" w:eastAsia="仿宋" w:hAnsi="仿宋" w:cs="仿宋" w:hint="eastAsia"/>
                <w:color w:val="000000"/>
                <w:sz w:val="24"/>
                <w:szCs w:val="24"/>
              </w:rPr>
              <w:t>污水处理及注水工艺</w:t>
            </w:r>
          </w:p>
          <w:p w14:paraId="1427946C" w14:textId="77777777" w:rsidR="009025F1" w:rsidRDefault="009025F1" w:rsidP="007A5EF9">
            <w:pPr>
              <w:tabs>
                <w:tab w:val="left" w:pos="-720"/>
              </w:tabs>
              <w:suppressAutoHyphens/>
              <w:rPr>
                <w:rFonts w:ascii="仿宋" w:eastAsia="仿宋" w:hAnsi="仿宋" w:cs="仿宋"/>
                <w:color w:val="000000"/>
                <w:sz w:val="24"/>
                <w:szCs w:val="24"/>
              </w:rPr>
            </w:pPr>
            <w:r>
              <w:rPr>
                <w:rFonts w:ascii="仿宋" w:eastAsia="仿宋" w:hAnsi="仿宋" w:cs="仿宋" w:hint="eastAsia"/>
                <w:color w:val="000000"/>
                <w:sz w:val="24"/>
                <w:szCs w:val="24"/>
              </w:rPr>
              <w:t>教学模块</w:t>
            </w:r>
            <w:r>
              <w:rPr>
                <w:rFonts w:ascii="仿宋" w:eastAsia="仿宋" w:hAnsi="仿宋" w:cs="仿宋"/>
                <w:color w:val="000000"/>
                <w:sz w:val="24"/>
                <w:szCs w:val="24"/>
              </w:rPr>
              <w:t>——</w:t>
            </w:r>
            <w:r>
              <w:rPr>
                <w:rFonts w:ascii="仿宋" w:eastAsia="仿宋" w:hAnsi="仿宋" w:cs="仿宋" w:hint="eastAsia"/>
                <w:color w:val="000000"/>
                <w:sz w:val="24"/>
                <w:szCs w:val="24"/>
              </w:rPr>
              <w:t>污水处理一体化集成技术</w:t>
            </w:r>
          </w:p>
        </w:tc>
        <w:tc>
          <w:tcPr>
            <w:tcW w:w="3838" w:type="dxa"/>
            <w:vMerge/>
            <w:tcBorders>
              <w:top w:val="single" w:sz="8" w:space="0" w:color="4F81BD"/>
              <w:left w:val="dotted" w:sz="4" w:space="0" w:color="auto"/>
              <w:bottom w:val="single" w:sz="8" w:space="0" w:color="4F81BD"/>
              <w:right w:val="single" w:sz="8" w:space="0" w:color="4F81BD"/>
            </w:tcBorders>
            <w:shd w:val="clear" w:color="auto" w:fill="FFFFFF"/>
            <w:vAlign w:val="center"/>
          </w:tcPr>
          <w:p w14:paraId="4D75ADFA" w14:textId="77777777" w:rsidR="009025F1" w:rsidRDefault="009025F1" w:rsidP="007A5EF9">
            <w:pPr>
              <w:tabs>
                <w:tab w:val="left" w:pos="-720"/>
              </w:tabs>
              <w:suppressAutoHyphens/>
              <w:rPr>
                <w:rFonts w:ascii="仿宋" w:eastAsia="仿宋" w:hAnsi="仿宋" w:cs="仿宋"/>
                <w:color w:val="000000"/>
                <w:spacing w:val="-3"/>
                <w:sz w:val="24"/>
                <w:szCs w:val="24"/>
                <w:lang w:val="en-GB"/>
              </w:rPr>
            </w:pPr>
          </w:p>
        </w:tc>
      </w:tr>
    </w:tbl>
    <w:p w14:paraId="3BC0EF2B" w14:textId="77777777" w:rsidR="009025F1" w:rsidRDefault="009025F1" w:rsidP="009025F1">
      <w:pPr>
        <w:adjustRightInd w:val="0"/>
        <w:snapToGrid w:val="0"/>
        <w:spacing w:line="300" w:lineRule="auto"/>
        <w:outlineLvl w:val="2"/>
      </w:pPr>
      <w:r>
        <w:rPr>
          <w:rFonts w:ascii="仿宋" w:eastAsia="仿宋" w:hAnsi="仿宋" w:cs="仿宋"/>
          <w:b/>
          <w:bCs/>
          <w:sz w:val="28"/>
          <w:szCs w:val="28"/>
        </w:rPr>
        <w:br w:type="page"/>
      </w:r>
      <w:bookmarkStart w:id="5" w:name="_Toc90635195"/>
      <w:r>
        <w:rPr>
          <w:rFonts w:ascii="仿宋" w:eastAsia="仿宋" w:hAnsi="仿宋" w:cs="仿宋"/>
          <w:b/>
          <w:bCs/>
          <w:sz w:val="28"/>
          <w:szCs w:val="28"/>
        </w:rPr>
        <w:lastRenderedPageBreak/>
        <w:t xml:space="preserve">4.3.2 </w:t>
      </w:r>
      <w:r>
        <w:rPr>
          <w:rFonts w:ascii="仿宋" w:eastAsia="仿宋" w:hAnsi="仿宋" w:cs="仿宋" w:hint="eastAsia"/>
          <w:b/>
          <w:bCs/>
          <w:sz w:val="28"/>
          <w:szCs w:val="28"/>
        </w:rPr>
        <w:t>课内教学</w:t>
      </w:r>
      <w:r>
        <w:rPr>
          <w:rFonts w:ascii="仿宋" w:eastAsia="仿宋" w:hAnsi="仿宋" w:cs="仿宋"/>
          <w:b/>
          <w:bCs/>
          <w:sz w:val="28"/>
          <w:szCs w:val="28"/>
        </w:rPr>
        <w:t>——</w:t>
      </w:r>
      <w:r>
        <w:rPr>
          <w:rFonts w:ascii="仿宋" w:eastAsia="仿宋" w:hAnsi="仿宋" w:cs="仿宋" w:hint="eastAsia"/>
          <w:b/>
          <w:bCs/>
          <w:sz w:val="28"/>
          <w:szCs w:val="28"/>
        </w:rPr>
        <w:t>雨课堂</w:t>
      </w:r>
      <w:bookmarkEnd w:id="5"/>
    </w:p>
    <w:p w14:paraId="73A410D2" w14:textId="1CF70E94" w:rsidR="009025F1" w:rsidRDefault="009025F1" w:rsidP="009025F1">
      <w:pPr>
        <w:keepNext/>
        <w:keepLines/>
        <w:tabs>
          <w:tab w:val="left" w:pos="0"/>
        </w:tabs>
        <w:spacing w:line="416" w:lineRule="auto"/>
      </w:pPr>
      <w:r>
        <w:rPr>
          <w:noProof/>
        </w:rPr>
        <w:drawing>
          <wp:inline distT="0" distB="0" distL="0" distR="0" wp14:anchorId="6A95A957" wp14:editId="67F429DE">
            <wp:extent cx="5274310" cy="2354580"/>
            <wp:effectExtent l="0" t="0" r="254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2354580"/>
                    </a:xfrm>
                    <a:prstGeom prst="rect">
                      <a:avLst/>
                    </a:prstGeom>
                    <a:noFill/>
                    <a:ln>
                      <a:noFill/>
                    </a:ln>
                  </pic:spPr>
                </pic:pic>
              </a:graphicData>
            </a:graphic>
          </wp:inline>
        </w:drawing>
      </w:r>
      <w:r>
        <w:rPr>
          <w:noProof/>
        </w:rPr>
        <w:drawing>
          <wp:inline distT="0" distB="0" distL="0" distR="0" wp14:anchorId="0A8E5197" wp14:editId="4798EBC8">
            <wp:extent cx="5274310" cy="232410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2324100"/>
                    </a:xfrm>
                    <a:prstGeom prst="rect">
                      <a:avLst/>
                    </a:prstGeom>
                    <a:noFill/>
                    <a:ln>
                      <a:noFill/>
                    </a:ln>
                  </pic:spPr>
                </pic:pic>
              </a:graphicData>
            </a:graphic>
          </wp:inline>
        </w:drawing>
      </w:r>
      <w:r>
        <w:rPr>
          <w:noProof/>
        </w:rPr>
        <w:drawing>
          <wp:inline distT="0" distB="0" distL="0" distR="0" wp14:anchorId="10DCBF50" wp14:editId="5D48F311">
            <wp:extent cx="5274310" cy="2314575"/>
            <wp:effectExtent l="0" t="0" r="254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314575"/>
                    </a:xfrm>
                    <a:prstGeom prst="rect">
                      <a:avLst/>
                    </a:prstGeom>
                    <a:noFill/>
                    <a:ln>
                      <a:noFill/>
                    </a:ln>
                  </pic:spPr>
                </pic:pic>
              </a:graphicData>
            </a:graphic>
          </wp:inline>
        </w:drawing>
      </w:r>
    </w:p>
    <w:p w14:paraId="78263E13" w14:textId="77777777" w:rsidR="009025F1" w:rsidRDefault="009025F1" w:rsidP="009025F1">
      <w:pPr>
        <w:adjustRightInd w:val="0"/>
        <w:snapToGrid w:val="0"/>
        <w:spacing w:line="300" w:lineRule="auto"/>
        <w:outlineLvl w:val="2"/>
      </w:pPr>
      <w:r>
        <w:rPr>
          <w:rFonts w:ascii="仿宋" w:eastAsia="仿宋" w:hAnsi="仿宋" w:cs="仿宋"/>
          <w:b/>
          <w:bCs/>
          <w:sz w:val="28"/>
          <w:szCs w:val="28"/>
        </w:rPr>
        <w:br w:type="page"/>
      </w:r>
      <w:bookmarkStart w:id="6" w:name="_Toc90635196"/>
      <w:r>
        <w:rPr>
          <w:rFonts w:ascii="仿宋" w:eastAsia="仿宋" w:hAnsi="仿宋" w:cs="仿宋"/>
          <w:b/>
          <w:bCs/>
          <w:sz w:val="28"/>
          <w:szCs w:val="28"/>
        </w:rPr>
        <w:lastRenderedPageBreak/>
        <w:t xml:space="preserve">4.3.3 </w:t>
      </w:r>
      <w:r>
        <w:rPr>
          <w:rFonts w:ascii="仿宋" w:eastAsia="仿宋" w:hAnsi="仿宋" w:cs="仿宋" w:hint="eastAsia"/>
          <w:b/>
          <w:bCs/>
          <w:sz w:val="28"/>
          <w:szCs w:val="28"/>
        </w:rPr>
        <w:t>慕华教育研究院：“碎、动、减”教学设计在《油气集输（双语）》课程“气液分离”中的实践</w:t>
      </w:r>
      <w:bookmarkEnd w:id="6"/>
    </w:p>
    <w:p w14:paraId="6E284D6B" w14:textId="06A6B005" w:rsidR="009025F1" w:rsidRDefault="009025F1" w:rsidP="009025F1">
      <w:r>
        <w:rPr>
          <w:noProof/>
        </w:rPr>
        <w:lastRenderedPageBreak/>
        <w:drawing>
          <wp:inline distT="0" distB="0" distL="0" distR="0" wp14:anchorId="7FA40F0A" wp14:editId="3FA70CE6">
            <wp:extent cx="1925320" cy="3922395"/>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25320" cy="3922395"/>
                    </a:xfrm>
                    <a:prstGeom prst="rect">
                      <a:avLst/>
                    </a:prstGeom>
                    <a:noFill/>
                    <a:ln>
                      <a:noFill/>
                    </a:ln>
                    <a:effectLst/>
                  </pic:spPr>
                </pic:pic>
              </a:graphicData>
            </a:graphic>
          </wp:inline>
        </w:drawing>
      </w:r>
      <w:r>
        <w:rPr>
          <w:noProof/>
        </w:rPr>
        <w:drawing>
          <wp:inline distT="0" distB="0" distL="0" distR="0" wp14:anchorId="53E1EE90" wp14:editId="726AF9F8">
            <wp:extent cx="1852930" cy="38017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52930" cy="3801745"/>
                    </a:xfrm>
                    <a:prstGeom prst="rect">
                      <a:avLst/>
                    </a:prstGeom>
                    <a:noFill/>
                    <a:ln>
                      <a:noFill/>
                    </a:ln>
                    <a:effectLst/>
                  </pic:spPr>
                </pic:pic>
              </a:graphicData>
            </a:graphic>
          </wp:inline>
        </w:drawing>
      </w:r>
      <w:r>
        <w:rPr>
          <w:noProof/>
        </w:rPr>
        <w:drawing>
          <wp:inline distT="0" distB="0" distL="0" distR="0" wp14:anchorId="1D89F4F0" wp14:editId="3DD819F7">
            <wp:extent cx="1901190" cy="3825875"/>
            <wp:effectExtent l="0" t="0" r="381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1190" cy="3825875"/>
                    </a:xfrm>
                    <a:prstGeom prst="rect">
                      <a:avLst/>
                    </a:prstGeom>
                    <a:noFill/>
                    <a:ln>
                      <a:noFill/>
                    </a:ln>
                    <a:effectLst/>
                  </pic:spPr>
                </pic:pic>
              </a:graphicData>
            </a:graphic>
          </wp:inline>
        </w:drawing>
      </w:r>
      <w:r>
        <w:rPr>
          <w:noProof/>
        </w:rPr>
        <w:drawing>
          <wp:inline distT="0" distB="0" distL="0" distR="0" wp14:anchorId="508660DF" wp14:editId="7A1D1707">
            <wp:extent cx="1852930" cy="382587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2930" cy="3825875"/>
                    </a:xfrm>
                    <a:prstGeom prst="rect">
                      <a:avLst/>
                    </a:prstGeom>
                    <a:noFill/>
                    <a:ln>
                      <a:noFill/>
                    </a:ln>
                    <a:effectLst/>
                  </pic:spPr>
                </pic:pic>
              </a:graphicData>
            </a:graphic>
          </wp:inline>
        </w:drawing>
      </w:r>
      <w:r>
        <w:rPr>
          <w:noProof/>
        </w:rPr>
        <w:lastRenderedPageBreak/>
        <w:drawing>
          <wp:inline distT="0" distB="0" distL="0" distR="0" wp14:anchorId="4E3F2201" wp14:editId="2F5D9CCA">
            <wp:extent cx="1852930" cy="3898265"/>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52930" cy="3898265"/>
                    </a:xfrm>
                    <a:prstGeom prst="rect">
                      <a:avLst/>
                    </a:prstGeom>
                    <a:noFill/>
                    <a:ln>
                      <a:noFill/>
                    </a:ln>
                    <a:effectLst/>
                  </pic:spPr>
                </pic:pic>
              </a:graphicData>
            </a:graphic>
          </wp:inline>
        </w:drawing>
      </w:r>
      <w:r>
        <w:rPr>
          <w:noProof/>
        </w:rPr>
        <w:drawing>
          <wp:inline distT="0" distB="0" distL="0" distR="0" wp14:anchorId="670855C8" wp14:editId="50B9893C">
            <wp:extent cx="1925320" cy="39465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5320" cy="3946525"/>
                    </a:xfrm>
                    <a:prstGeom prst="rect">
                      <a:avLst/>
                    </a:prstGeom>
                    <a:noFill/>
                    <a:ln>
                      <a:noFill/>
                    </a:ln>
                    <a:effectLst/>
                  </pic:spPr>
                </pic:pic>
              </a:graphicData>
            </a:graphic>
          </wp:inline>
        </w:drawing>
      </w:r>
    </w:p>
    <w:p w14:paraId="1B2EFF14" w14:textId="77777777" w:rsidR="009025F1" w:rsidRDefault="009025F1" w:rsidP="009025F1">
      <w:pPr>
        <w:pStyle w:val="2"/>
        <w:tabs>
          <w:tab w:val="left" w:pos="0"/>
        </w:tabs>
        <w:spacing w:before="0" w:after="0" w:line="415" w:lineRule="auto"/>
        <w:rPr>
          <w:rFonts w:ascii="仿宋" w:eastAsia="仿宋" w:hAnsi="仿宋" w:cs="仿宋"/>
          <w:b w:val="0"/>
          <w:bCs w:val="0"/>
          <w:sz w:val="28"/>
          <w:szCs w:val="28"/>
        </w:rPr>
      </w:pPr>
      <w:r>
        <w:rPr>
          <w:rFonts w:ascii="仿宋" w:eastAsia="仿宋" w:hAnsi="仿宋" w:cs="仿宋"/>
          <w:sz w:val="28"/>
          <w:szCs w:val="28"/>
        </w:rPr>
        <w:br w:type="page"/>
      </w:r>
    </w:p>
    <w:p w14:paraId="1F4DEF98" w14:textId="77777777" w:rsidR="00530881" w:rsidRDefault="00530881" w:rsidP="00530881">
      <w:pPr>
        <w:pStyle w:val="2"/>
        <w:tabs>
          <w:tab w:val="left" w:pos="0"/>
        </w:tabs>
        <w:spacing w:before="0" w:after="0" w:line="415" w:lineRule="auto"/>
        <w:rPr>
          <w:rFonts w:ascii="仿宋" w:eastAsia="仿宋" w:hAnsi="仿宋" w:cs="仿宋"/>
          <w:sz w:val="28"/>
          <w:szCs w:val="28"/>
        </w:rPr>
      </w:pPr>
      <w:r>
        <w:rPr>
          <w:rFonts w:ascii="仿宋" w:eastAsia="仿宋" w:hAnsi="仿宋" w:cs="仿宋" w:hint="eastAsia"/>
          <w:sz w:val="28"/>
          <w:szCs w:val="28"/>
        </w:rPr>
        <w:lastRenderedPageBreak/>
        <w:t xml:space="preserve">4.4 </w:t>
      </w:r>
      <w:r>
        <w:rPr>
          <w:rFonts w:ascii="仿宋" w:eastAsia="仿宋" w:hAnsi="仿宋" w:cs="仿宋"/>
          <w:sz w:val="28"/>
          <w:szCs w:val="28"/>
        </w:rPr>
        <w:t>“</w:t>
      </w:r>
      <w:r>
        <w:rPr>
          <w:rFonts w:ascii="仿宋" w:eastAsia="仿宋" w:hAnsi="仿宋" w:cs="仿宋" w:hint="eastAsia"/>
          <w:sz w:val="28"/>
          <w:szCs w:val="28"/>
        </w:rPr>
        <w:t>课内-课外”联动——《油气集输》</w:t>
      </w:r>
      <w:bookmarkStart w:id="7" w:name="_Toc89851066"/>
      <w:bookmarkStart w:id="8" w:name="_Toc16037"/>
      <w:r>
        <w:rPr>
          <w:rFonts w:ascii="仿宋" w:eastAsia="仿宋" w:hAnsi="仿宋" w:cs="仿宋" w:hint="eastAsia"/>
          <w:sz w:val="28"/>
          <w:szCs w:val="28"/>
        </w:rPr>
        <w:t>课后大作业</w:t>
      </w:r>
      <w:bookmarkEnd w:id="0"/>
      <w:bookmarkEnd w:id="7"/>
    </w:p>
    <w:p w14:paraId="0BED5BA2" w14:textId="77777777" w:rsidR="00530881" w:rsidRDefault="00530881" w:rsidP="00530881">
      <w:pPr>
        <w:adjustRightInd w:val="0"/>
        <w:snapToGrid w:val="0"/>
        <w:spacing w:line="300" w:lineRule="auto"/>
        <w:outlineLvl w:val="2"/>
        <w:rPr>
          <w:sz w:val="28"/>
          <w:szCs w:val="28"/>
        </w:rPr>
      </w:pPr>
      <w:bookmarkStart w:id="9" w:name="_Toc90635198"/>
      <w:r>
        <w:rPr>
          <w:rFonts w:ascii="仿宋" w:eastAsia="仿宋" w:hAnsi="仿宋" w:cs="仿宋" w:hint="eastAsia"/>
          <w:b/>
          <w:bCs/>
          <w:sz w:val="28"/>
          <w:szCs w:val="28"/>
        </w:rPr>
        <w:t>4.4.1 PBL团队大作业</w:t>
      </w:r>
      <w:bookmarkEnd w:id="9"/>
    </w:p>
    <w:p w14:paraId="2BE11F48" w14:textId="5E1E795C" w:rsidR="00530881" w:rsidRDefault="00530881" w:rsidP="00530881">
      <w:pPr>
        <w:widowControl w:val="0"/>
        <w:spacing w:line="416" w:lineRule="auto"/>
      </w:pPr>
      <w:r>
        <w:rPr>
          <w:noProof/>
        </w:rPr>
        <w:drawing>
          <wp:inline distT="0" distB="0" distL="0" distR="0" wp14:anchorId="6E54D785" wp14:editId="11E01F53">
            <wp:extent cx="5274310" cy="341312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3413125"/>
                    </a:xfrm>
                    <a:prstGeom prst="rect">
                      <a:avLst/>
                    </a:prstGeom>
                    <a:noFill/>
                    <a:ln>
                      <a:noFill/>
                    </a:ln>
                  </pic:spPr>
                </pic:pic>
              </a:graphicData>
            </a:graphic>
          </wp:inline>
        </w:drawing>
      </w:r>
    </w:p>
    <w:p w14:paraId="7679E74B" w14:textId="77777777" w:rsidR="00530881" w:rsidRDefault="00530881" w:rsidP="00530881">
      <w:pPr>
        <w:adjustRightInd w:val="0"/>
        <w:snapToGrid w:val="0"/>
        <w:spacing w:line="300" w:lineRule="auto"/>
        <w:outlineLvl w:val="2"/>
        <w:rPr>
          <w:rFonts w:ascii="仿宋" w:eastAsia="仿宋" w:hAnsi="仿宋" w:cs="仿宋"/>
          <w:b/>
          <w:bCs/>
          <w:sz w:val="28"/>
          <w:szCs w:val="28"/>
        </w:rPr>
      </w:pPr>
      <w:bookmarkStart w:id="10" w:name="_Toc90635199"/>
      <w:r>
        <w:rPr>
          <w:rFonts w:ascii="仿宋" w:eastAsia="仿宋" w:hAnsi="仿宋" w:cs="仿宋" w:hint="eastAsia"/>
          <w:b/>
          <w:bCs/>
          <w:sz w:val="28"/>
          <w:szCs w:val="28"/>
        </w:rPr>
        <w:t>4.4.2 课程答辩资料汇总截图（2017级）</w:t>
      </w:r>
      <w:bookmarkEnd w:id="10"/>
    </w:p>
    <w:p w14:paraId="3DAB15CB" w14:textId="67FE8EE9" w:rsidR="00530881" w:rsidRDefault="00530881" w:rsidP="00530881">
      <w:r>
        <w:rPr>
          <w:rFonts w:ascii="仿宋" w:eastAsia="仿宋" w:hAnsi="仿宋" w:cs="仿宋" w:hint="eastAsia"/>
          <w:noProof/>
        </w:rPr>
        <w:drawing>
          <wp:inline distT="0" distB="0" distL="0" distR="0" wp14:anchorId="47DD0732" wp14:editId="4F50C0BA">
            <wp:extent cx="5274310" cy="3481070"/>
            <wp:effectExtent l="0" t="0" r="254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3481070"/>
                    </a:xfrm>
                    <a:prstGeom prst="rect">
                      <a:avLst/>
                    </a:prstGeom>
                    <a:noFill/>
                    <a:ln>
                      <a:noFill/>
                    </a:ln>
                    <a:effectLst/>
                  </pic:spPr>
                </pic:pic>
              </a:graphicData>
            </a:graphic>
          </wp:inline>
        </w:drawing>
      </w:r>
    </w:p>
    <w:p w14:paraId="676FD5CD" w14:textId="77777777" w:rsidR="00530881" w:rsidRDefault="00530881" w:rsidP="00530881">
      <w:pPr>
        <w:adjustRightInd w:val="0"/>
        <w:snapToGrid w:val="0"/>
        <w:spacing w:line="300" w:lineRule="auto"/>
        <w:outlineLvl w:val="2"/>
      </w:pPr>
      <w:bookmarkStart w:id="11" w:name="_Toc90635200"/>
      <w:r>
        <w:rPr>
          <w:rFonts w:ascii="仿宋" w:eastAsia="仿宋" w:hAnsi="仿宋" w:cs="仿宋" w:hint="eastAsia"/>
          <w:b/>
          <w:bCs/>
          <w:sz w:val="28"/>
          <w:szCs w:val="28"/>
        </w:rPr>
        <w:t>4.4.3 答辩过程记录示例</w:t>
      </w:r>
      <w:bookmarkEnd w:id="11"/>
    </w:p>
    <w:p w14:paraId="4869F722" w14:textId="2A4E9C02" w:rsidR="00530881" w:rsidRDefault="00530881" w:rsidP="00530881">
      <w:pPr>
        <w:widowControl w:val="0"/>
        <w:adjustRightInd w:val="0"/>
        <w:snapToGrid w:val="0"/>
        <w:spacing w:line="300" w:lineRule="auto"/>
        <w:jc w:val="center"/>
        <w:rPr>
          <w:rFonts w:ascii="仿宋" w:eastAsia="仿宋" w:hAnsi="仿宋" w:cs="仿宋"/>
        </w:rPr>
      </w:pPr>
      <w:r>
        <w:rPr>
          <w:rFonts w:ascii="仿宋" w:eastAsia="仿宋" w:hAnsi="仿宋" w:cs="仿宋" w:hint="eastAsia"/>
          <w:noProof/>
        </w:rPr>
        <w:lastRenderedPageBreak/>
        <w:drawing>
          <wp:inline distT="0" distB="0" distL="0" distR="0" wp14:anchorId="0569E900" wp14:editId="77B65E5A">
            <wp:extent cx="5274310" cy="7887970"/>
            <wp:effectExtent l="0" t="0" r="254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rrowheads="1"/>
                    </pic:cNvPicPr>
                  </pic:nvPicPr>
                  <pic:blipFill>
                    <a:blip r:embed="rId18" cstate="print">
                      <a:extLst>
                        <a:ext uri="{28A0092B-C50C-407E-A947-70E740481C1C}">
                          <a14:useLocalDpi xmlns:a14="http://schemas.microsoft.com/office/drawing/2010/main" val="0"/>
                        </a:ext>
                      </a:extLst>
                    </a:blip>
                    <a:srcRect l="8902" t="7474" r="13045" b="9662"/>
                    <a:stretch>
                      <a:fillRect/>
                    </a:stretch>
                  </pic:blipFill>
                  <pic:spPr bwMode="auto">
                    <a:xfrm>
                      <a:off x="0" y="0"/>
                      <a:ext cx="5274310" cy="7887970"/>
                    </a:xfrm>
                    <a:prstGeom prst="rect">
                      <a:avLst/>
                    </a:prstGeom>
                    <a:noFill/>
                    <a:ln>
                      <a:noFill/>
                    </a:ln>
                  </pic:spPr>
                </pic:pic>
              </a:graphicData>
            </a:graphic>
          </wp:inline>
        </w:drawing>
      </w:r>
    </w:p>
    <w:p w14:paraId="243AAF24" w14:textId="7DCED1E5" w:rsidR="00530881" w:rsidRDefault="00530881" w:rsidP="00530881">
      <w:pPr>
        <w:widowControl w:val="0"/>
        <w:adjustRightInd w:val="0"/>
        <w:snapToGrid w:val="0"/>
        <w:spacing w:line="300" w:lineRule="auto"/>
        <w:jc w:val="center"/>
        <w:rPr>
          <w:rFonts w:ascii="仿宋" w:eastAsia="仿宋" w:hAnsi="仿宋" w:cs="仿宋"/>
        </w:rPr>
      </w:pPr>
      <w:r>
        <w:rPr>
          <w:rFonts w:ascii="仿宋" w:eastAsia="仿宋" w:hAnsi="仿宋" w:cs="仿宋" w:hint="eastAsia"/>
          <w:noProof/>
        </w:rPr>
        <w:lastRenderedPageBreak/>
        <w:drawing>
          <wp:inline distT="0" distB="0" distL="0" distR="0" wp14:anchorId="4B1C64B0" wp14:editId="2343DF00">
            <wp:extent cx="5274310" cy="7887970"/>
            <wp:effectExtent l="0" t="0" r="254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rrowheads="1"/>
                    </pic:cNvPicPr>
                  </pic:nvPicPr>
                  <pic:blipFill>
                    <a:blip r:embed="rId19">
                      <a:extLst>
                        <a:ext uri="{28A0092B-C50C-407E-A947-70E740481C1C}">
                          <a14:useLocalDpi xmlns:a14="http://schemas.microsoft.com/office/drawing/2010/main" val="0"/>
                        </a:ext>
                      </a:extLst>
                    </a:blip>
                    <a:srcRect l="12425" t="8247" r="13997" b="9123"/>
                    <a:stretch>
                      <a:fillRect/>
                    </a:stretch>
                  </pic:blipFill>
                  <pic:spPr bwMode="auto">
                    <a:xfrm>
                      <a:off x="0" y="0"/>
                      <a:ext cx="5274310" cy="7887970"/>
                    </a:xfrm>
                    <a:prstGeom prst="rect">
                      <a:avLst/>
                    </a:prstGeom>
                    <a:noFill/>
                    <a:ln>
                      <a:noFill/>
                    </a:ln>
                  </pic:spPr>
                </pic:pic>
              </a:graphicData>
            </a:graphic>
          </wp:inline>
        </w:drawing>
      </w:r>
    </w:p>
    <w:p w14:paraId="7A5DBF1B" w14:textId="77777777" w:rsidR="00530881" w:rsidRDefault="00530881" w:rsidP="00530881">
      <w:pPr>
        <w:widowControl w:val="0"/>
        <w:adjustRightInd w:val="0"/>
        <w:snapToGrid w:val="0"/>
        <w:spacing w:line="300" w:lineRule="auto"/>
        <w:jc w:val="center"/>
        <w:rPr>
          <w:rFonts w:ascii="仿宋" w:eastAsia="仿宋" w:hAnsi="仿宋" w:cs="仿宋"/>
        </w:rPr>
      </w:pPr>
    </w:p>
    <w:p w14:paraId="79797680" w14:textId="01437A79" w:rsidR="00530881" w:rsidRDefault="00530881" w:rsidP="00530881">
      <w:pPr>
        <w:widowControl w:val="0"/>
        <w:adjustRightInd w:val="0"/>
        <w:snapToGrid w:val="0"/>
        <w:spacing w:line="300" w:lineRule="auto"/>
        <w:jc w:val="center"/>
        <w:rPr>
          <w:rFonts w:ascii="仿宋" w:eastAsia="仿宋" w:hAnsi="仿宋" w:cs="仿宋"/>
          <w:b/>
          <w:bCs/>
        </w:rPr>
      </w:pPr>
      <w:r>
        <w:rPr>
          <w:rFonts w:ascii="仿宋" w:eastAsia="仿宋" w:hAnsi="仿宋" w:cs="仿宋" w:hint="eastAsia"/>
          <w:noProof/>
        </w:rPr>
        <w:lastRenderedPageBreak/>
        <w:drawing>
          <wp:inline distT="0" distB="0" distL="0" distR="0" wp14:anchorId="1B4F9CEA" wp14:editId="547E02EF">
            <wp:extent cx="5274310" cy="7887970"/>
            <wp:effectExtent l="0" t="0" r="254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rrowheads="1"/>
                    </pic:cNvPicPr>
                  </pic:nvPicPr>
                  <pic:blipFill>
                    <a:blip r:embed="rId20" cstate="print">
                      <a:extLst>
                        <a:ext uri="{28A0092B-C50C-407E-A947-70E740481C1C}">
                          <a14:useLocalDpi xmlns:a14="http://schemas.microsoft.com/office/drawing/2010/main" val="0"/>
                        </a:ext>
                      </a:extLst>
                    </a:blip>
                    <a:srcRect l="12758" t="7742" r="12616" b="13464"/>
                    <a:stretch>
                      <a:fillRect/>
                    </a:stretch>
                  </pic:blipFill>
                  <pic:spPr bwMode="auto">
                    <a:xfrm>
                      <a:off x="0" y="0"/>
                      <a:ext cx="5274310" cy="7887970"/>
                    </a:xfrm>
                    <a:prstGeom prst="rect">
                      <a:avLst/>
                    </a:prstGeom>
                    <a:noFill/>
                    <a:ln>
                      <a:noFill/>
                    </a:ln>
                  </pic:spPr>
                </pic:pic>
              </a:graphicData>
            </a:graphic>
          </wp:inline>
        </w:drawing>
      </w:r>
    </w:p>
    <w:p w14:paraId="43C40AE7" w14:textId="77777777" w:rsidR="00530881" w:rsidRDefault="00530881" w:rsidP="00530881"/>
    <w:p w14:paraId="52E32A3E" w14:textId="77777777" w:rsidR="00530881" w:rsidRDefault="00530881" w:rsidP="00530881"/>
    <w:p w14:paraId="6FD85CB2" w14:textId="77777777" w:rsidR="00530881" w:rsidRDefault="00530881" w:rsidP="00530881"/>
    <w:p w14:paraId="5A690024" w14:textId="77777777" w:rsidR="00530881" w:rsidRDefault="00530881" w:rsidP="00530881">
      <w:pPr>
        <w:adjustRightInd w:val="0"/>
        <w:snapToGrid w:val="0"/>
        <w:spacing w:line="300" w:lineRule="auto"/>
        <w:outlineLvl w:val="2"/>
      </w:pPr>
      <w:bookmarkStart w:id="12" w:name="_Toc90635201"/>
      <w:r>
        <w:rPr>
          <w:rFonts w:ascii="仿宋" w:eastAsia="仿宋" w:hAnsi="仿宋" w:cs="仿宋" w:hint="eastAsia"/>
          <w:b/>
          <w:bCs/>
          <w:sz w:val="28"/>
          <w:szCs w:val="28"/>
        </w:rPr>
        <w:t>4.4.4 线上答辩及线下答辩示例</w:t>
      </w:r>
      <w:bookmarkEnd w:id="12"/>
    </w:p>
    <w:p w14:paraId="09373914" w14:textId="45A790F7" w:rsidR="00530881" w:rsidRDefault="00530881" w:rsidP="00530881">
      <w:pPr>
        <w:jc w:val="center"/>
      </w:pPr>
      <w:r>
        <w:rPr>
          <w:noProof/>
        </w:rPr>
        <w:lastRenderedPageBreak/>
        <w:drawing>
          <wp:inline distT="0" distB="0" distL="0" distR="0" wp14:anchorId="584382D7" wp14:editId="2BCF2ABE">
            <wp:extent cx="5149215" cy="3825875"/>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21">
                      <a:extLst>
                        <a:ext uri="{28A0092B-C50C-407E-A947-70E740481C1C}">
                          <a14:useLocalDpi xmlns:a14="http://schemas.microsoft.com/office/drawing/2010/main" val="0"/>
                        </a:ext>
                      </a:extLst>
                    </a:blip>
                    <a:srcRect t="11778"/>
                    <a:stretch>
                      <a:fillRect/>
                    </a:stretch>
                  </pic:blipFill>
                  <pic:spPr bwMode="auto">
                    <a:xfrm>
                      <a:off x="0" y="0"/>
                      <a:ext cx="5149215" cy="3825875"/>
                    </a:xfrm>
                    <a:prstGeom prst="rect">
                      <a:avLst/>
                    </a:prstGeom>
                    <a:noFill/>
                    <a:ln>
                      <a:noFill/>
                    </a:ln>
                    <a:effectLst/>
                  </pic:spPr>
                </pic:pic>
              </a:graphicData>
            </a:graphic>
          </wp:inline>
        </w:drawing>
      </w:r>
    </w:p>
    <w:p w14:paraId="26955922" w14:textId="2387740A" w:rsidR="00530881" w:rsidRDefault="00530881" w:rsidP="00530881">
      <w:pPr>
        <w:jc w:val="center"/>
      </w:pPr>
      <w:r>
        <w:rPr>
          <w:noProof/>
        </w:rPr>
        <w:drawing>
          <wp:inline distT="0" distB="0" distL="0" distR="0" wp14:anchorId="30FF5709" wp14:editId="3179AA4F">
            <wp:extent cx="5101590" cy="4018280"/>
            <wp:effectExtent l="0" t="0" r="381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1590" cy="4018280"/>
                    </a:xfrm>
                    <a:prstGeom prst="rect">
                      <a:avLst/>
                    </a:prstGeom>
                    <a:noFill/>
                    <a:ln>
                      <a:noFill/>
                    </a:ln>
                    <a:effectLst/>
                  </pic:spPr>
                </pic:pic>
              </a:graphicData>
            </a:graphic>
          </wp:inline>
        </w:drawing>
      </w:r>
    </w:p>
    <w:p w14:paraId="4A892EEA" w14:textId="77777777" w:rsidR="00530881" w:rsidRDefault="00530881" w:rsidP="00530881"/>
    <w:p w14:paraId="0BD99E61" w14:textId="77777777" w:rsidR="00530881" w:rsidRDefault="00530881" w:rsidP="00530881">
      <w:pPr>
        <w:pStyle w:val="2"/>
        <w:tabs>
          <w:tab w:val="left" w:pos="0"/>
        </w:tabs>
        <w:spacing w:before="0" w:after="0" w:line="415" w:lineRule="auto"/>
        <w:rPr>
          <w:rFonts w:ascii="仿宋" w:eastAsia="仿宋" w:hAnsi="仿宋" w:cs="仿宋"/>
          <w:sz w:val="28"/>
          <w:szCs w:val="28"/>
        </w:rPr>
      </w:pPr>
      <w:bookmarkStart w:id="13" w:name="_Toc90635202"/>
      <w:r>
        <w:rPr>
          <w:rFonts w:ascii="仿宋" w:eastAsia="仿宋" w:hAnsi="仿宋" w:cs="仿宋" w:hint="eastAsia"/>
          <w:sz w:val="28"/>
          <w:szCs w:val="28"/>
        </w:rPr>
        <w:lastRenderedPageBreak/>
        <w:t xml:space="preserve">4.5 </w:t>
      </w:r>
      <w:r>
        <w:rPr>
          <w:rFonts w:ascii="仿宋" w:eastAsia="仿宋" w:hAnsi="仿宋" w:cs="仿宋"/>
          <w:sz w:val="28"/>
          <w:szCs w:val="28"/>
        </w:rPr>
        <w:t>“</w:t>
      </w:r>
      <w:r>
        <w:rPr>
          <w:rFonts w:ascii="仿宋" w:eastAsia="仿宋" w:hAnsi="仿宋" w:cs="仿宋" w:hint="eastAsia"/>
          <w:sz w:val="28"/>
          <w:szCs w:val="28"/>
        </w:rPr>
        <w:t>课内-课外”联动——《油气集输》多元评价体系</w:t>
      </w:r>
      <w:bookmarkEnd w:id="13"/>
    </w:p>
    <w:p w14:paraId="369D9AC6" w14:textId="77777777" w:rsidR="00530881" w:rsidRDefault="00530881" w:rsidP="00530881">
      <w:pPr>
        <w:adjustRightInd w:val="0"/>
        <w:snapToGrid w:val="0"/>
        <w:spacing w:line="300" w:lineRule="auto"/>
        <w:outlineLvl w:val="2"/>
        <w:rPr>
          <w:rFonts w:ascii="仿宋" w:eastAsia="仿宋" w:hAnsi="仿宋" w:cs="仿宋"/>
          <w:b/>
          <w:bCs/>
          <w:sz w:val="28"/>
          <w:szCs w:val="28"/>
        </w:rPr>
      </w:pPr>
      <w:bookmarkStart w:id="14" w:name="_Toc90635203"/>
      <w:r>
        <w:rPr>
          <w:rFonts w:ascii="仿宋" w:eastAsia="仿宋" w:hAnsi="仿宋" w:cs="仿宋" w:hint="eastAsia"/>
          <w:b/>
          <w:bCs/>
          <w:sz w:val="28"/>
          <w:szCs w:val="28"/>
        </w:rPr>
        <w:t>4.5.1 课程目标、专业毕业要求、考核体系</w:t>
      </w:r>
      <w:bookmarkEnd w:id="14"/>
    </w:p>
    <w:p w14:paraId="574765DC" w14:textId="77777777" w:rsidR="00530881" w:rsidRDefault="00530881" w:rsidP="00530881">
      <w:pPr>
        <w:adjustRightInd w:val="0"/>
        <w:snapToGrid w:val="0"/>
        <w:spacing w:line="300" w:lineRule="auto"/>
        <w:ind w:firstLineChars="200" w:firstLine="560"/>
        <w:jc w:val="both"/>
        <w:rPr>
          <w:rFonts w:ascii="仿宋" w:eastAsia="仿宋" w:hAnsi="仿宋"/>
          <w:sz w:val="28"/>
          <w:szCs w:val="28"/>
        </w:rPr>
      </w:pPr>
      <w:r>
        <w:rPr>
          <w:rFonts w:ascii="仿宋" w:eastAsia="仿宋" w:hAnsi="仿宋" w:hint="eastAsia"/>
          <w:sz w:val="28"/>
          <w:szCs w:val="28"/>
        </w:rPr>
        <w:t>课程目标</w:t>
      </w:r>
      <w:r>
        <w:rPr>
          <w:rFonts w:ascii="仿宋" w:eastAsia="仿宋" w:hAnsi="仿宋"/>
          <w:sz w:val="28"/>
          <w:szCs w:val="28"/>
        </w:rPr>
        <w:t>1</w:t>
      </w:r>
      <w:r>
        <w:rPr>
          <w:rFonts w:ascii="仿宋" w:eastAsia="仿宋" w:hAnsi="仿宋" w:hint="eastAsia"/>
          <w:sz w:val="28"/>
          <w:szCs w:val="28"/>
        </w:rPr>
        <w:t>：全面了解油田地面生产系统的组成及工艺过程、油田地面工程建设与油气田开发方案的关系（素质培养），掌握矿场集输管线和生产设施布局的基本原则（知识培养），掌握气液两相混输管路工艺计算的基本原则与方法（知识培养），能够进行集输管道的水热力计算（能力培养），能根据不同的集输流程进行站内外管网的设计（能力培养），具备从事油气集输系统运行管理的初步能力（素质培养）；</w:t>
      </w:r>
    </w:p>
    <w:p w14:paraId="691B9125" w14:textId="77777777" w:rsidR="00530881" w:rsidRDefault="00530881" w:rsidP="00530881">
      <w:pPr>
        <w:adjustRightInd w:val="0"/>
        <w:snapToGrid w:val="0"/>
        <w:spacing w:line="300" w:lineRule="auto"/>
        <w:ind w:firstLineChars="200" w:firstLine="560"/>
        <w:jc w:val="both"/>
        <w:rPr>
          <w:rFonts w:ascii="仿宋" w:eastAsia="仿宋" w:hAnsi="仿宋"/>
          <w:sz w:val="28"/>
          <w:szCs w:val="28"/>
        </w:rPr>
      </w:pPr>
      <w:r>
        <w:rPr>
          <w:rFonts w:ascii="仿宋" w:eastAsia="仿宋" w:hAnsi="仿宋" w:hint="eastAsia"/>
          <w:sz w:val="28"/>
          <w:szCs w:val="28"/>
        </w:rPr>
        <w:t>课程目标</w:t>
      </w:r>
      <w:r>
        <w:rPr>
          <w:rFonts w:ascii="仿宋" w:eastAsia="仿宋" w:hAnsi="仿宋"/>
          <w:sz w:val="28"/>
          <w:szCs w:val="28"/>
        </w:rPr>
        <w:t>2</w:t>
      </w:r>
      <w:r>
        <w:rPr>
          <w:rFonts w:ascii="仿宋" w:eastAsia="仿宋" w:hAnsi="仿宋" w:hint="eastAsia"/>
          <w:sz w:val="28"/>
          <w:szCs w:val="28"/>
        </w:rPr>
        <w:t>：了解烃系相平衡的基本理论和原油乳化机理（知识培养），能够识别和判断油气分离与原油净化设施、原油稳定等设计及运行中的关键环节和参数（能力培养），能合理选择油气分离与原油净化设施（能力培养）；</w:t>
      </w:r>
    </w:p>
    <w:p w14:paraId="619C2BAE" w14:textId="77777777" w:rsidR="00530881" w:rsidRDefault="00530881" w:rsidP="00530881">
      <w:pPr>
        <w:adjustRightInd w:val="0"/>
        <w:snapToGrid w:val="0"/>
        <w:spacing w:line="300" w:lineRule="auto"/>
        <w:ind w:firstLineChars="200" w:firstLine="560"/>
        <w:jc w:val="both"/>
        <w:rPr>
          <w:rFonts w:ascii="仿宋" w:eastAsia="仿宋" w:hAnsi="仿宋"/>
          <w:sz w:val="28"/>
          <w:szCs w:val="28"/>
        </w:rPr>
      </w:pPr>
      <w:r>
        <w:rPr>
          <w:rFonts w:ascii="仿宋" w:eastAsia="仿宋" w:hAnsi="仿宋" w:hint="eastAsia"/>
          <w:sz w:val="28"/>
          <w:szCs w:val="28"/>
        </w:rPr>
        <w:t>课程目标</w:t>
      </w:r>
      <w:r>
        <w:rPr>
          <w:rFonts w:ascii="仿宋" w:eastAsia="仿宋" w:hAnsi="仿宋"/>
          <w:sz w:val="28"/>
          <w:szCs w:val="28"/>
        </w:rPr>
        <w:t>3</w:t>
      </w:r>
      <w:r>
        <w:rPr>
          <w:rFonts w:ascii="仿宋" w:eastAsia="仿宋" w:hAnsi="仿宋" w:hint="eastAsia"/>
          <w:sz w:val="28"/>
          <w:szCs w:val="28"/>
        </w:rPr>
        <w:t>：了解将天然气和伴生气转变成商品天然气的工艺过程和可选方法（知识培养）,了解油田水处理技术的主要工艺方法及其设备（知识培养），能够根据需求确定设计目标和细化设计内容的能力（能力培养），具备初步的气体净化、轻烃回收的工艺设计能力（能力培养），能合理选择污水处理方法和设备（能力培养）；</w:t>
      </w:r>
    </w:p>
    <w:p w14:paraId="3F4499FD" w14:textId="77777777" w:rsidR="00530881" w:rsidRDefault="00530881" w:rsidP="00530881">
      <w:pPr>
        <w:adjustRightInd w:val="0"/>
        <w:snapToGrid w:val="0"/>
        <w:spacing w:line="300" w:lineRule="auto"/>
        <w:ind w:firstLineChars="200" w:firstLine="560"/>
        <w:jc w:val="both"/>
        <w:rPr>
          <w:rFonts w:ascii="仿宋" w:eastAsia="仿宋" w:hAnsi="仿宋"/>
          <w:sz w:val="28"/>
          <w:szCs w:val="28"/>
        </w:rPr>
      </w:pPr>
      <w:r>
        <w:rPr>
          <w:rFonts w:ascii="仿宋" w:eastAsia="仿宋" w:hAnsi="仿宋" w:hint="eastAsia"/>
          <w:sz w:val="28"/>
          <w:szCs w:val="28"/>
        </w:rPr>
        <w:t>课程目标</w:t>
      </w:r>
      <w:r>
        <w:rPr>
          <w:rFonts w:ascii="仿宋" w:eastAsia="仿宋" w:hAnsi="仿宋"/>
          <w:sz w:val="28"/>
          <w:szCs w:val="28"/>
        </w:rPr>
        <w:t>4</w:t>
      </w:r>
      <w:r>
        <w:rPr>
          <w:rFonts w:ascii="仿宋" w:eastAsia="仿宋" w:hAnsi="仿宋" w:hint="eastAsia"/>
          <w:sz w:val="28"/>
          <w:szCs w:val="28"/>
        </w:rPr>
        <w:t>：根据油气井产物及矿场环境条件考虑环保、经济等因素（素质培养），确定研究对象的特征及关键所在（能力培养），制定可行的研究路线（能力培养），确定合适的油气集输方案（能力培养）；</w:t>
      </w:r>
    </w:p>
    <w:p w14:paraId="45D44857" w14:textId="77777777" w:rsidR="00530881" w:rsidRDefault="00530881" w:rsidP="00530881">
      <w:pPr>
        <w:adjustRightInd w:val="0"/>
        <w:snapToGrid w:val="0"/>
        <w:spacing w:line="300" w:lineRule="auto"/>
        <w:ind w:firstLineChars="200" w:firstLine="560"/>
        <w:jc w:val="both"/>
        <w:rPr>
          <w:rFonts w:ascii="仿宋" w:eastAsia="仿宋" w:hAnsi="仿宋"/>
          <w:sz w:val="28"/>
          <w:szCs w:val="28"/>
        </w:rPr>
      </w:pPr>
      <w:r>
        <w:rPr>
          <w:rFonts w:ascii="仿宋" w:eastAsia="仿宋" w:hAnsi="仿宋" w:hint="eastAsia"/>
          <w:sz w:val="28"/>
          <w:szCs w:val="28"/>
        </w:rPr>
        <w:t>课程目标</w:t>
      </w:r>
      <w:r>
        <w:rPr>
          <w:rFonts w:ascii="仿宋" w:eastAsia="仿宋" w:hAnsi="仿宋"/>
          <w:sz w:val="28"/>
          <w:szCs w:val="28"/>
        </w:rPr>
        <w:t>5</w:t>
      </w:r>
      <w:r>
        <w:rPr>
          <w:rFonts w:ascii="仿宋" w:eastAsia="仿宋" w:hAnsi="仿宋" w:hint="eastAsia"/>
          <w:sz w:val="28"/>
          <w:szCs w:val="28"/>
        </w:rPr>
        <w:t>：能够对研究结果进行分析和解释，并获得有一定工程意义的结论（能力培养）；</w:t>
      </w:r>
    </w:p>
    <w:p w14:paraId="7BE80BBE" w14:textId="77777777" w:rsidR="00530881" w:rsidRDefault="00530881" w:rsidP="00530881">
      <w:pPr>
        <w:adjustRightInd w:val="0"/>
        <w:snapToGrid w:val="0"/>
        <w:spacing w:line="300" w:lineRule="auto"/>
        <w:ind w:firstLineChars="200" w:firstLine="560"/>
        <w:jc w:val="both"/>
        <w:rPr>
          <w:rFonts w:ascii="仿宋" w:eastAsia="仿宋" w:hAnsi="仿宋"/>
          <w:sz w:val="28"/>
          <w:szCs w:val="28"/>
        </w:rPr>
      </w:pPr>
      <w:r>
        <w:rPr>
          <w:rFonts w:ascii="仿宋" w:eastAsia="仿宋" w:hAnsi="仿宋" w:hint="eastAsia"/>
          <w:sz w:val="28"/>
          <w:szCs w:val="28"/>
        </w:rPr>
        <w:t>课程目标6：掌握获取储运专业文献、技术资源的基本途径，具备收集、阅读、汇报、整理国内外文献资料的能力（能力、素质培养）。</w:t>
      </w:r>
    </w:p>
    <w:p w14:paraId="10176592" w14:textId="77777777" w:rsidR="00530881" w:rsidRDefault="00530881" w:rsidP="00530881">
      <w:pPr>
        <w:adjustRightInd w:val="0"/>
        <w:snapToGrid w:val="0"/>
        <w:spacing w:line="300" w:lineRule="auto"/>
        <w:jc w:val="center"/>
        <w:rPr>
          <w:rFonts w:ascii="仿宋" w:eastAsia="仿宋" w:hAnsi="仿宋"/>
          <w:sz w:val="28"/>
          <w:szCs w:val="28"/>
        </w:rPr>
      </w:pPr>
      <w:r>
        <w:rPr>
          <w:rFonts w:ascii="仿宋" w:eastAsia="仿宋" w:hAnsi="仿宋" w:hint="eastAsia"/>
          <w:sz w:val="28"/>
          <w:szCs w:val="28"/>
        </w:rPr>
        <w:br w:type="page"/>
      </w:r>
      <w:r>
        <w:rPr>
          <w:rFonts w:ascii="仿宋" w:eastAsia="仿宋" w:hAnsi="仿宋" w:cs="仿宋" w:hint="eastAsia"/>
          <w:sz w:val="28"/>
          <w:szCs w:val="28"/>
        </w:rPr>
        <w:lastRenderedPageBreak/>
        <w:t>课程目标及专业毕业要求支撑关系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6"/>
        <w:gridCol w:w="6780"/>
      </w:tblGrid>
      <w:tr w:rsidR="00530881" w:rsidRPr="001715EA" w14:paraId="73B0B62C" w14:textId="77777777" w:rsidTr="003D1DCB">
        <w:trPr>
          <w:trHeight w:val="288"/>
          <w:jc w:val="center"/>
        </w:trPr>
        <w:tc>
          <w:tcPr>
            <w:tcW w:w="909" w:type="pct"/>
            <w:tcBorders>
              <w:top w:val="single" w:sz="8" w:space="0" w:color="4F81BD"/>
              <w:left w:val="single" w:sz="8" w:space="0" w:color="4F81BD"/>
              <w:bottom w:val="single" w:sz="8" w:space="0" w:color="4F81BD"/>
              <w:right w:val="dotted" w:sz="4" w:space="0" w:color="auto"/>
            </w:tcBorders>
            <w:shd w:val="clear" w:color="auto" w:fill="4F81BD"/>
            <w:vAlign w:val="center"/>
          </w:tcPr>
          <w:p w14:paraId="6CA05B17" w14:textId="77777777" w:rsidR="00530881" w:rsidRPr="001715EA" w:rsidRDefault="00530881" w:rsidP="003D1DCB">
            <w:pPr>
              <w:jc w:val="center"/>
              <w:rPr>
                <w:rFonts w:ascii="仿宋" w:eastAsia="仿宋" w:hAnsi="仿宋" w:cs="仿宋"/>
                <w:b/>
                <w:bCs/>
                <w:color w:val="FFFFFF"/>
                <w:sz w:val="24"/>
                <w:szCs w:val="24"/>
              </w:rPr>
            </w:pPr>
            <w:r w:rsidRPr="001715EA">
              <w:rPr>
                <w:rFonts w:ascii="仿宋" w:eastAsia="仿宋" w:hAnsi="仿宋" w:cs="仿宋" w:hint="eastAsia"/>
                <w:b/>
                <w:bCs/>
                <w:color w:val="FFFFFF"/>
                <w:sz w:val="24"/>
                <w:szCs w:val="24"/>
              </w:rPr>
              <w:t>课程目标</w:t>
            </w:r>
          </w:p>
        </w:tc>
        <w:tc>
          <w:tcPr>
            <w:tcW w:w="4090" w:type="pct"/>
            <w:tcBorders>
              <w:top w:val="single" w:sz="8" w:space="0" w:color="4F81BD"/>
              <w:left w:val="dotted" w:sz="4" w:space="0" w:color="auto"/>
              <w:bottom w:val="single" w:sz="8" w:space="0" w:color="4F81BD"/>
              <w:right w:val="single" w:sz="8" w:space="0" w:color="4F81BD"/>
            </w:tcBorders>
            <w:shd w:val="clear" w:color="auto" w:fill="4F81BD"/>
            <w:vAlign w:val="center"/>
          </w:tcPr>
          <w:p w14:paraId="5ED38561" w14:textId="77777777" w:rsidR="00530881" w:rsidRPr="001715EA" w:rsidRDefault="00530881" w:rsidP="003D1DCB">
            <w:pPr>
              <w:jc w:val="center"/>
              <w:rPr>
                <w:rFonts w:ascii="仿宋" w:eastAsia="仿宋" w:hAnsi="仿宋" w:cs="仿宋"/>
                <w:b/>
                <w:bCs/>
                <w:color w:val="FFFFFF"/>
                <w:sz w:val="24"/>
                <w:szCs w:val="24"/>
              </w:rPr>
            </w:pPr>
            <w:r w:rsidRPr="001715EA">
              <w:rPr>
                <w:rFonts w:ascii="仿宋" w:eastAsia="仿宋" w:hAnsi="仿宋" w:cs="仿宋" w:hint="eastAsia"/>
                <w:b/>
                <w:bCs/>
                <w:color w:val="FFFFFF"/>
                <w:sz w:val="24"/>
                <w:szCs w:val="24"/>
              </w:rPr>
              <w:t>毕业要求指标点</w:t>
            </w:r>
          </w:p>
        </w:tc>
      </w:tr>
      <w:tr w:rsidR="00530881" w:rsidRPr="001715EA" w14:paraId="5E2AE568" w14:textId="77777777" w:rsidTr="003D1DCB">
        <w:trPr>
          <w:trHeight w:val="347"/>
          <w:jc w:val="center"/>
        </w:trPr>
        <w:tc>
          <w:tcPr>
            <w:tcW w:w="909" w:type="pct"/>
            <w:tcBorders>
              <w:top w:val="single" w:sz="8" w:space="0" w:color="4F81BD"/>
              <w:left w:val="single" w:sz="8" w:space="0" w:color="4F81BD"/>
              <w:bottom w:val="single" w:sz="8" w:space="0" w:color="4F81BD"/>
              <w:right w:val="dotted" w:sz="4" w:space="0" w:color="auto"/>
            </w:tcBorders>
            <w:shd w:val="clear" w:color="auto" w:fill="FFFFFF"/>
            <w:vAlign w:val="center"/>
          </w:tcPr>
          <w:p w14:paraId="5D49B151"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课程目标1</w:t>
            </w:r>
          </w:p>
        </w:tc>
        <w:tc>
          <w:tcPr>
            <w:tcW w:w="4090" w:type="pct"/>
            <w:tcBorders>
              <w:top w:val="single" w:sz="8" w:space="0" w:color="4F81BD"/>
              <w:left w:val="dotted" w:sz="4" w:space="0" w:color="auto"/>
              <w:bottom w:val="single" w:sz="8" w:space="0" w:color="4F81BD"/>
              <w:right w:val="single" w:sz="8" w:space="0" w:color="4F81BD"/>
            </w:tcBorders>
            <w:shd w:val="clear" w:color="auto" w:fill="FFFFFF"/>
            <w:vAlign w:val="center"/>
          </w:tcPr>
          <w:p w14:paraId="6F2449AA"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指标点1-3：</w:t>
            </w:r>
            <w:r w:rsidRPr="001715EA">
              <w:rPr>
                <w:rFonts w:ascii="仿宋" w:eastAsia="仿宋" w:hAnsi="仿宋" w:cs="仿宋" w:hint="eastAsia"/>
                <w:color w:val="000000"/>
                <w:spacing w:val="-3"/>
                <w:sz w:val="24"/>
                <w:szCs w:val="24"/>
                <w:lang w:val="en-GB"/>
              </w:rPr>
              <w:t>能将专业知识用于油气储运系统设计、运行分析和调度管理。</w:t>
            </w:r>
          </w:p>
        </w:tc>
      </w:tr>
      <w:tr w:rsidR="00530881" w:rsidRPr="001715EA" w14:paraId="68DC650A" w14:textId="77777777" w:rsidTr="003D1DCB">
        <w:trPr>
          <w:jc w:val="center"/>
        </w:trPr>
        <w:tc>
          <w:tcPr>
            <w:tcW w:w="909" w:type="pct"/>
            <w:tcBorders>
              <w:top w:val="single" w:sz="8" w:space="0" w:color="4F81BD"/>
              <w:left w:val="single" w:sz="8" w:space="0" w:color="4F81BD"/>
              <w:bottom w:val="single" w:sz="8" w:space="0" w:color="4F81BD"/>
              <w:right w:val="dotted" w:sz="4" w:space="0" w:color="auto"/>
            </w:tcBorders>
            <w:shd w:val="clear" w:color="auto" w:fill="FFFFFF"/>
          </w:tcPr>
          <w:p w14:paraId="2EAFC14A"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课程目标2</w:t>
            </w:r>
          </w:p>
        </w:tc>
        <w:tc>
          <w:tcPr>
            <w:tcW w:w="4090" w:type="pct"/>
            <w:tcBorders>
              <w:top w:val="single" w:sz="8" w:space="0" w:color="4F81BD"/>
              <w:left w:val="dotted" w:sz="4" w:space="0" w:color="auto"/>
              <w:bottom w:val="single" w:sz="8" w:space="0" w:color="4F81BD"/>
              <w:right w:val="single" w:sz="8" w:space="0" w:color="4F81BD"/>
            </w:tcBorders>
            <w:shd w:val="clear" w:color="auto" w:fill="FFFFFF"/>
            <w:vAlign w:val="center"/>
          </w:tcPr>
          <w:p w14:paraId="27970D0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指标点2-1：</w:t>
            </w:r>
            <w:bookmarkStart w:id="15" w:name="_Hlk86512585"/>
            <w:r w:rsidRPr="001715EA">
              <w:rPr>
                <w:rFonts w:ascii="仿宋" w:eastAsia="仿宋" w:hAnsi="仿宋" w:cs="仿宋" w:hint="eastAsia"/>
                <w:color w:val="000000"/>
                <w:spacing w:val="-3"/>
                <w:sz w:val="24"/>
                <w:szCs w:val="24"/>
                <w:lang w:val="en-GB"/>
              </w:rPr>
              <w:t>能够识别和判断油气储运系统设计及运行中的关键环节和参数</w:t>
            </w:r>
            <w:bookmarkEnd w:id="15"/>
            <w:r w:rsidRPr="001715EA">
              <w:rPr>
                <w:rFonts w:ascii="仿宋" w:eastAsia="仿宋" w:hAnsi="仿宋" w:cs="仿宋" w:hint="eastAsia"/>
                <w:color w:val="000000"/>
                <w:spacing w:val="-3"/>
                <w:sz w:val="24"/>
                <w:szCs w:val="24"/>
                <w:lang w:val="en-GB"/>
              </w:rPr>
              <w:t>。</w:t>
            </w:r>
          </w:p>
        </w:tc>
      </w:tr>
      <w:tr w:rsidR="00530881" w:rsidRPr="001715EA" w14:paraId="69245F69" w14:textId="77777777" w:rsidTr="003D1DCB">
        <w:trPr>
          <w:jc w:val="center"/>
        </w:trPr>
        <w:tc>
          <w:tcPr>
            <w:tcW w:w="909" w:type="pct"/>
            <w:tcBorders>
              <w:top w:val="single" w:sz="8" w:space="0" w:color="4F81BD"/>
              <w:left w:val="single" w:sz="8" w:space="0" w:color="4F81BD"/>
              <w:bottom w:val="single" w:sz="8" w:space="0" w:color="4F81BD"/>
              <w:right w:val="dotted" w:sz="4" w:space="0" w:color="auto"/>
            </w:tcBorders>
            <w:shd w:val="clear" w:color="auto" w:fill="FFFFFF"/>
          </w:tcPr>
          <w:p w14:paraId="6A1D2F1C"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课程目标3</w:t>
            </w:r>
          </w:p>
        </w:tc>
        <w:tc>
          <w:tcPr>
            <w:tcW w:w="4090" w:type="pct"/>
            <w:tcBorders>
              <w:top w:val="single" w:sz="8" w:space="0" w:color="4F81BD"/>
              <w:left w:val="dotted" w:sz="4" w:space="0" w:color="auto"/>
              <w:bottom w:val="single" w:sz="8" w:space="0" w:color="4F81BD"/>
              <w:right w:val="single" w:sz="8" w:space="0" w:color="4F81BD"/>
            </w:tcBorders>
            <w:shd w:val="clear" w:color="auto" w:fill="FFFFFF"/>
          </w:tcPr>
          <w:p w14:paraId="7CA53663"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指标点3-1：针对油气储运系统的新建或改造需求，有确定设计目标和细化设计内容的能力。</w:t>
            </w:r>
          </w:p>
        </w:tc>
      </w:tr>
      <w:tr w:rsidR="00530881" w:rsidRPr="001715EA" w14:paraId="6D10240D" w14:textId="77777777" w:rsidTr="003D1DCB">
        <w:trPr>
          <w:jc w:val="center"/>
        </w:trPr>
        <w:tc>
          <w:tcPr>
            <w:tcW w:w="909" w:type="pct"/>
            <w:tcBorders>
              <w:top w:val="single" w:sz="8" w:space="0" w:color="4F81BD"/>
              <w:left w:val="single" w:sz="8" w:space="0" w:color="4F81BD"/>
              <w:bottom w:val="single" w:sz="8" w:space="0" w:color="4F81BD"/>
              <w:right w:val="dotted" w:sz="4" w:space="0" w:color="auto"/>
            </w:tcBorders>
            <w:shd w:val="clear" w:color="auto" w:fill="FFFFFF"/>
          </w:tcPr>
          <w:p w14:paraId="336D2B44"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课程目标4</w:t>
            </w:r>
          </w:p>
        </w:tc>
        <w:tc>
          <w:tcPr>
            <w:tcW w:w="4090" w:type="pct"/>
            <w:tcBorders>
              <w:top w:val="single" w:sz="8" w:space="0" w:color="4F81BD"/>
              <w:left w:val="dotted" w:sz="4" w:space="0" w:color="auto"/>
              <w:bottom w:val="single" w:sz="8" w:space="0" w:color="4F81BD"/>
              <w:right w:val="single" w:sz="8" w:space="0" w:color="4F81BD"/>
            </w:tcBorders>
            <w:shd w:val="clear" w:color="auto" w:fill="FFFFFF"/>
          </w:tcPr>
          <w:p w14:paraId="7E21ADA9"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指标点4-1：能够基于油气储运工程专业知识，</w:t>
            </w:r>
            <w:bookmarkStart w:id="16" w:name="_Hlk86512963"/>
            <w:r w:rsidRPr="001715EA">
              <w:rPr>
                <w:rFonts w:ascii="仿宋" w:eastAsia="仿宋" w:hAnsi="仿宋" w:cs="仿宋" w:hint="eastAsia"/>
                <w:color w:val="000000"/>
                <w:sz w:val="24"/>
                <w:szCs w:val="24"/>
              </w:rPr>
              <w:t>确定研究对象的特征及关键所在，制定可行的研究路线和方案</w:t>
            </w:r>
            <w:bookmarkEnd w:id="16"/>
            <w:r w:rsidRPr="001715EA">
              <w:rPr>
                <w:rFonts w:ascii="仿宋" w:eastAsia="仿宋" w:hAnsi="仿宋" w:cs="仿宋" w:hint="eastAsia"/>
                <w:color w:val="000000"/>
                <w:sz w:val="24"/>
                <w:szCs w:val="24"/>
              </w:rPr>
              <w:t>。</w:t>
            </w:r>
          </w:p>
        </w:tc>
      </w:tr>
      <w:tr w:rsidR="00530881" w:rsidRPr="001715EA" w14:paraId="7EBE353B" w14:textId="77777777" w:rsidTr="003D1DCB">
        <w:trPr>
          <w:jc w:val="center"/>
        </w:trPr>
        <w:tc>
          <w:tcPr>
            <w:tcW w:w="909" w:type="pct"/>
            <w:tcBorders>
              <w:top w:val="single" w:sz="8" w:space="0" w:color="4F81BD"/>
              <w:left w:val="single" w:sz="8" w:space="0" w:color="4F81BD"/>
              <w:bottom w:val="single" w:sz="8" w:space="0" w:color="4F81BD"/>
              <w:right w:val="dotted" w:sz="4" w:space="0" w:color="auto"/>
            </w:tcBorders>
            <w:shd w:val="clear" w:color="auto" w:fill="FFFFFF"/>
            <w:vAlign w:val="center"/>
          </w:tcPr>
          <w:p w14:paraId="1F440A13"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课程目标5</w:t>
            </w:r>
          </w:p>
        </w:tc>
        <w:tc>
          <w:tcPr>
            <w:tcW w:w="4090" w:type="pct"/>
            <w:tcBorders>
              <w:top w:val="single" w:sz="8" w:space="0" w:color="4F81BD"/>
              <w:left w:val="dotted" w:sz="4" w:space="0" w:color="auto"/>
              <w:bottom w:val="single" w:sz="8" w:space="0" w:color="4F81BD"/>
              <w:right w:val="single" w:sz="8" w:space="0" w:color="4F81BD"/>
            </w:tcBorders>
            <w:shd w:val="clear" w:color="auto" w:fill="FFFFFF"/>
          </w:tcPr>
          <w:p w14:paraId="10433E6A" w14:textId="77777777" w:rsidR="00530881" w:rsidRPr="001715EA" w:rsidRDefault="00530881" w:rsidP="003D1DCB">
            <w:pPr>
              <w:rPr>
                <w:rFonts w:ascii="仿宋" w:eastAsia="仿宋" w:hAnsi="仿宋" w:cs="仿宋"/>
                <w:color w:val="000000"/>
                <w:spacing w:val="-3"/>
                <w:sz w:val="24"/>
                <w:szCs w:val="24"/>
                <w:lang w:val="en-GB"/>
              </w:rPr>
            </w:pPr>
            <w:r w:rsidRPr="001715EA">
              <w:rPr>
                <w:rFonts w:ascii="仿宋" w:eastAsia="仿宋" w:hAnsi="仿宋" w:cs="仿宋" w:hint="eastAsia"/>
                <w:color w:val="000000"/>
                <w:sz w:val="24"/>
                <w:szCs w:val="24"/>
              </w:rPr>
              <w:t>指标点5-3：</w:t>
            </w:r>
            <w:bookmarkStart w:id="17" w:name="_Hlk86513160"/>
            <w:r w:rsidRPr="001715EA">
              <w:rPr>
                <w:rFonts w:ascii="仿宋" w:eastAsia="仿宋" w:hAnsi="仿宋" w:cs="仿宋" w:hint="eastAsia"/>
                <w:color w:val="000000"/>
                <w:sz w:val="24"/>
                <w:szCs w:val="24"/>
              </w:rPr>
              <w:t>能够对研究结果进行分析和解释，并获得有一定工程意义的结论</w:t>
            </w:r>
            <w:bookmarkEnd w:id="17"/>
            <w:r w:rsidRPr="001715EA">
              <w:rPr>
                <w:rFonts w:ascii="仿宋" w:eastAsia="仿宋" w:hAnsi="仿宋" w:cs="仿宋" w:hint="eastAsia"/>
                <w:color w:val="000000"/>
                <w:sz w:val="24"/>
                <w:szCs w:val="24"/>
              </w:rPr>
              <w:t>。</w:t>
            </w:r>
          </w:p>
        </w:tc>
      </w:tr>
      <w:tr w:rsidR="00530881" w:rsidRPr="001715EA" w14:paraId="0DED1BBA" w14:textId="77777777" w:rsidTr="003D1DCB">
        <w:trPr>
          <w:jc w:val="center"/>
        </w:trPr>
        <w:tc>
          <w:tcPr>
            <w:tcW w:w="909" w:type="pct"/>
            <w:tcBorders>
              <w:top w:val="single" w:sz="8" w:space="0" w:color="4F81BD"/>
              <w:left w:val="single" w:sz="8" w:space="0" w:color="4F81BD"/>
              <w:bottom w:val="single" w:sz="8" w:space="0" w:color="4F81BD"/>
              <w:right w:val="dotted" w:sz="4" w:space="0" w:color="auto"/>
            </w:tcBorders>
            <w:shd w:val="clear" w:color="auto" w:fill="FFFFFF"/>
          </w:tcPr>
          <w:p w14:paraId="620D18A2"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课程目标6</w:t>
            </w:r>
          </w:p>
        </w:tc>
        <w:tc>
          <w:tcPr>
            <w:tcW w:w="4090" w:type="pct"/>
            <w:tcBorders>
              <w:top w:val="single" w:sz="8" w:space="0" w:color="4F81BD"/>
              <w:left w:val="dotted" w:sz="4" w:space="0" w:color="auto"/>
              <w:bottom w:val="single" w:sz="8" w:space="0" w:color="4F81BD"/>
              <w:right w:val="single" w:sz="8" w:space="0" w:color="4F81BD"/>
            </w:tcBorders>
            <w:shd w:val="clear" w:color="auto" w:fill="FFFFFF"/>
            <w:vAlign w:val="center"/>
          </w:tcPr>
          <w:p w14:paraId="2B76F6F7" w14:textId="77777777" w:rsidR="00530881" w:rsidRPr="001715EA" w:rsidRDefault="00530881" w:rsidP="003D1DCB">
            <w:pPr>
              <w:rPr>
                <w:rFonts w:ascii="仿宋" w:eastAsia="仿宋" w:hAnsi="仿宋" w:cs="仿宋"/>
                <w:color w:val="000000"/>
                <w:spacing w:val="-3"/>
                <w:sz w:val="24"/>
                <w:szCs w:val="24"/>
                <w:lang w:val="en-GB"/>
              </w:rPr>
            </w:pPr>
            <w:r w:rsidRPr="001715EA">
              <w:rPr>
                <w:rFonts w:ascii="仿宋" w:eastAsia="仿宋" w:hAnsi="仿宋" w:cs="仿宋" w:hint="eastAsia"/>
                <w:color w:val="000000"/>
                <w:sz w:val="24"/>
                <w:szCs w:val="24"/>
              </w:rPr>
              <w:t>指标点10-2：具有英语听说读写的基本能力，能够进行跨文化背景的沟通和交流。</w:t>
            </w:r>
          </w:p>
        </w:tc>
      </w:tr>
    </w:tbl>
    <w:p w14:paraId="5C4D78AC" w14:textId="77777777" w:rsidR="00530881" w:rsidRDefault="00530881" w:rsidP="00530881">
      <w:pPr>
        <w:adjustRightInd w:val="0"/>
        <w:snapToGrid w:val="0"/>
        <w:spacing w:line="300" w:lineRule="auto"/>
        <w:jc w:val="center"/>
        <w:rPr>
          <w:rFonts w:ascii="仿宋" w:eastAsia="仿宋" w:hAnsi="仿宋" w:cs="仿宋"/>
          <w:sz w:val="28"/>
          <w:szCs w:val="28"/>
          <w:lang w:val="en-GB"/>
        </w:rPr>
      </w:pPr>
    </w:p>
    <w:p w14:paraId="231B50FA" w14:textId="77777777" w:rsidR="00530881" w:rsidRDefault="00530881" w:rsidP="00530881">
      <w:pPr>
        <w:adjustRightInd w:val="0"/>
        <w:snapToGrid w:val="0"/>
        <w:spacing w:line="300" w:lineRule="auto"/>
        <w:jc w:val="center"/>
        <w:rPr>
          <w:rFonts w:ascii="仿宋" w:eastAsia="仿宋" w:hAnsi="仿宋" w:cs="仿宋"/>
          <w:sz w:val="28"/>
          <w:szCs w:val="28"/>
          <w:lang w:val="en-GB"/>
        </w:rPr>
      </w:pPr>
      <w:r>
        <w:rPr>
          <w:rFonts w:ascii="仿宋" w:eastAsia="仿宋" w:hAnsi="仿宋" w:cs="仿宋" w:hint="eastAsia"/>
          <w:sz w:val="28"/>
          <w:szCs w:val="28"/>
          <w:lang w:val="en-GB"/>
        </w:rPr>
        <w:t>课程考核内容、成绩构成比例及考查课程目标</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
        <w:gridCol w:w="5107"/>
        <w:gridCol w:w="1261"/>
        <w:gridCol w:w="958"/>
      </w:tblGrid>
      <w:tr w:rsidR="00530881" w:rsidRPr="001715EA" w14:paraId="3DCB77DC" w14:textId="77777777" w:rsidTr="003D1DCB">
        <w:trPr>
          <w:trHeight w:val="616"/>
          <w:jc w:val="center"/>
        </w:trPr>
        <w:tc>
          <w:tcPr>
            <w:tcW w:w="3660" w:type="pct"/>
            <w:gridSpan w:val="2"/>
            <w:tcBorders>
              <w:top w:val="single" w:sz="8" w:space="0" w:color="4F81BD"/>
              <w:left w:val="single" w:sz="8" w:space="0" w:color="4F81BD"/>
              <w:bottom w:val="single" w:sz="8" w:space="0" w:color="4F81BD"/>
              <w:right w:val="dotted" w:sz="4" w:space="0" w:color="auto"/>
            </w:tcBorders>
            <w:shd w:val="clear" w:color="auto" w:fill="4F81BD"/>
            <w:vAlign w:val="center"/>
          </w:tcPr>
          <w:p w14:paraId="69FE4F46" w14:textId="77777777" w:rsidR="00530881" w:rsidRPr="001715EA" w:rsidRDefault="00530881" w:rsidP="003D1DCB">
            <w:pPr>
              <w:suppressAutoHyphens/>
              <w:spacing w:beforeLines="50" w:before="156" w:afterLines="50" w:after="156"/>
              <w:ind w:right="102"/>
              <w:jc w:val="center"/>
              <w:rPr>
                <w:rFonts w:ascii="仿宋" w:eastAsia="仿宋" w:hAnsi="仿宋" w:cs="仿宋"/>
                <w:b/>
                <w:color w:val="FFFFFF"/>
                <w:spacing w:val="-3"/>
                <w:sz w:val="24"/>
                <w:szCs w:val="24"/>
                <w:lang w:val="en-GB"/>
              </w:rPr>
            </w:pPr>
            <w:r w:rsidRPr="001715EA">
              <w:rPr>
                <w:rFonts w:ascii="仿宋" w:eastAsia="仿宋" w:hAnsi="仿宋" w:cs="仿宋" w:hint="eastAsia"/>
                <w:b/>
                <w:color w:val="FFFFFF"/>
                <w:spacing w:val="-3"/>
                <w:sz w:val="24"/>
                <w:szCs w:val="24"/>
                <w:lang w:val="en-GB"/>
              </w:rPr>
              <w:t>考核内容</w:t>
            </w:r>
          </w:p>
        </w:tc>
        <w:tc>
          <w:tcPr>
            <w:tcW w:w="761" w:type="pct"/>
            <w:tcBorders>
              <w:top w:val="single" w:sz="8" w:space="0" w:color="4F81BD"/>
              <w:left w:val="dotted" w:sz="4" w:space="0" w:color="auto"/>
              <w:bottom w:val="single" w:sz="8" w:space="0" w:color="4F81BD"/>
              <w:right w:val="dotted" w:sz="4" w:space="0" w:color="auto"/>
            </w:tcBorders>
            <w:shd w:val="clear" w:color="auto" w:fill="4F81BD"/>
          </w:tcPr>
          <w:p w14:paraId="5C342312" w14:textId="77777777" w:rsidR="00530881" w:rsidRPr="001715EA" w:rsidRDefault="00530881" w:rsidP="003D1DCB">
            <w:pPr>
              <w:suppressAutoHyphens/>
              <w:spacing w:beforeLines="50" w:before="156" w:afterLines="50" w:after="156"/>
              <w:ind w:right="102"/>
              <w:jc w:val="center"/>
              <w:rPr>
                <w:rFonts w:ascii="仿宋" w:eastAsia="仿宋" w:hAnsi="仿宋" w:cs="仿宋"/>
                <w:b/>
                <w:color w:val="FFFFFF"/>
                <w:spacing w:val="-3"/>
                <w:sz w:val="24"/>
                <w:szCs w:val="24"/>
                <w:lang w:val="en-GB"/>
              </w:rPr>
            </w:pPr>
            <w:r w:rsidRPr="001715EA">
              <w:rPr>
                <w:rFonts w:ascii="仿宋" w:eastAsia="仿宋" w:hAnsi="仿宋" w:cs="仿宋" w:hint="eastAsia"/>
                <w:b/>
                <w:color w:val="FFFFFF"/>
                <w:spacing w:val="-3"/>
                <w:sz w:val="24"/>
                <w:szCs w:val="24"/>
                <w:lang w:val="en-GB"/>
              </w:rPr>
              <w:t>成绩构成比例</w:t>
            </w:r>
          </w:p>
        </w:tc>
        <w:tc>
          <w:tcPr>
            <w:tcW w:w="578" w:type="pct"/>
            <w:tcBorders>
              <w:top w:val="single" w:sz="8" w:space="0" w:color="4F81BD"/>
              <w:left w:val="dotted" w:sz="4" w:space="0" w:color="auto"/>
              <w:bottom w:val="single" w:sz="8" w:space="0" w:color="4F81BD"/>
              <w:right w:val="dotted" w:sz="4" w:space="0" w:color="auto"/>
            </w:tcBorders>
            <w:shd w:val="clear" w:color="auto" w:fill="4F81BD"/>
          </w:tcPr>
          <w:p w14:paraId="57323FEE" w14:textId="77777777" w:rsidR="00530881" w:rsidRPr="001715EA" w:rsidRDefault="00530881" w:rsidP="003D1DCB">
            <w:pPr>
              <w:suppressAutoHyphens/>
              <w:spacing w:beforeLines="50" w:before="156" w:afterLines="50" w:after="156"/>
              <w:ind w:right="102"/>
              <w:jc w:val="center"/>
              <w:rPr>
                <w:rFonts w:ascii="仿宋" w:eastAsia="仿宋" w:hAnsi="仿宋" w:cs="仿宋"/>
                <w:b/>
                <w:color w:val="FFFFFF"/>
                <w:spacing w:val="-3"/>
                <w:sz w:val="24"/>
                <w:szCs w:val="24"/>
                <w:lang w:val="en-GB"/>
              </w:rPr>
            </w:pPr>
            <w:r w:rsidRPr="001715EA">
              <w:rPr>
                <w:rFonts w:ascii="仿宋" w:eastAsia="仿宋" w:hAnsi="仿宋" w:cs="仿宋" w:hint="eastAsia"/>
                <w:b/>
                <w:color w:val="FFFFFF"/>
                <w:spacing w:val="-3"/>
                <w:sz w:val="24"/>
                <w:szCs w:val="24"/>
                <w:lang w:val="en-GB"/>
              </w:rPr>
              <w:t>课程目标</w:t>
            </w:r>
          </w:p>
        </w:tc>
      </w:tr>
      <w:tr w:rsidR="00530881" w:rsidRPr="001715EA" w14:paraId="1D5D7F10" w14:textId="77777777" w:rsidTr="003D1DCB">
        <w:trPr>
          <w:trHeight w:val="628"/>
          <w:jc w:val="center"/>
        </w:trPr>
        <w:tc>
          <w:tcPr>
            <w:tcW w:w="580" w:type="pct"/>
            <w:tcBorders>
              <w:top w:val="single" w:sz="8" w:space="0" w:color="4F81BD"/>
              <w:left w:val="single" w:sz="8" w:space="0" w:color="4F81BD"/>
              <w:bottom w:val="single" w:sz="8" w:space="0" w:color="4F81BD"/>
              <w:right w:val="dotted" w:sz="4" w:space="0" w:color="auto"/>
            </w:tcBorders>
            <w:shd w:val="clear" w:color="auto" w:fill="FFFFFF"/>
            <w:vAlign w:val="center"/>
          </w:tcPr>
          <w:p w14:paraId="41C20A10"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平时成绩</w:t>
            </w:r>
          </w:p>
        </w:tc>
        <w:tc>
          <w:tcPr>
            <w:tcW w:w="3079" w:type="pct"/>
            <w:tcBorders>
              <w:top w:val="single" w:sz="8" w:space="0" w:color="4F81BD"/>
              <w:left w:val="dotted" w:sz="4" w:space="0" w:color="auto"/>
              <w:bottom w:val="single" w:sz="8" w:space="0" w:color="4F81BD"/>
              <w:right w:val="dotted" w:sz="4" w:space="0" w:color="auto"/>
            </w:tcBorders>
            <w:shd w:val="clear" w:color="auto" w:fill="FFFFFF"/>
            <w:vAlign w:val="center"/>
          </w:tcPr>
          <w:p w14:paraId="4C08EB2B"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雨课堂随堂测试，随机检查学生上课状态、回答问题情况</w:t>
            </w:r>
          </w:p>
          <w:p w14:paraId="0D32A4EB"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1.五次作业，包括矿场集输流程、气液两相流动、气液分离、原油脱水及气体净化章节内容的练习。</w:t>
            </w:r>
          </w:p>
          <w:p w14:paraId="6AED8C1B"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2.成绩采用百分制，根据作业完成准确性、是否按时上交、是否独立完成评分。</w:t>
            </w:r>
          </w:p>
          <w:p w14:paraId="3624E59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3.考核学生对油气集输系统基本知识的掌握能力，学生综合运用所学知识分析问题、解决问题的能力题型主要有分析和简答。</w:t>
            </w:r>
          </w:p>
        </w:tc>
        <w:tc>
          <w:tcPr>
            <w:tcW w:w="761" w:type="pct"/>
            <w:tcBorders>
              <w:top w:val="single" w:sz="8" w:space="0" w:color="4F81BD"/>
              <w:left w:val="dotted" w:sz="4" w:space="0" w:color="auto"/>
              <w:bottom w:val="single" w:sz="8" w:space="0" w:color="4F81BD"/>
              <w:right w:val="dotted" w:sz="4" w:space="0" w:color="auto"/>
            </w:tcBorders>
            <w:shd w:val="clear" w:color="auto" w:fill="FFFFFF"/>
            <w:vAlign w:val="center"/>
          </w:tcPr>
          <w:p w14:paraId="408990FA"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10%</w:t>
            </w:r>
          </w:p>
        </w:tc>
        <w:tc>
          <w:tcPr>
            <w:tcW w:w="578" w:type="pct"/>
            <w:tcBorders>
              <w:top w:val="single" w:sz="8" w:space="0" w:color="4F81BD"/>
              <w:left w:val="dotted" w:sz="4" w:space="0" w:color="auto"/>
              <w:bottom w:val="single" w:sz="8" w:space="0" w:color="4F81BD"/>
              <w:right w:val="single" w:sz="8" w:space="0" w:color="4F81BD"/>
            </w:tcBorders>
            <w:shd w:val="clear" w:color="auto" w:fill="FFFFFF"/>
            <w:vAlign w:val="center"/>
          </w:tcPr>
          <w:p w14:paraId="788B9198"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课程目标1-3</w:t>
            </w:r>
          </w:p>
        </w:tc>
      </w:tr>
      <w:tr w:rsidR="00530881" w:rsidRPr="001715EA" w14:paraId="394EB980" w14:textId="77777777" w:rsidTr="003D1DCB">
        <w:trPr>
          <w:trHeight w:val="643"/>
          <w:jc w:val="center"/>
        </w:trPr>
        <w:tc>
          <w:tcPr>
            <w:tcW w:w="580" w:type="pct"/>
            <w:tcBorders>
              <w:top w:val="single" w:sz="8" w:space="0" w:color="4F81BD"/>
              <w:left w:val="single" w:sz="8" w:space="0" w:color="4F81BD"/>
              <w:bottom w:val="single" w:sz="8" w:space="0" w:color="4F81BD"/>
              <w:right w:val="dotted" w:sz="4" w:space="0" w:color="auto"/>
            </w:tcBorders>
            <w:shd w:val="clear" w:color="auto" w:fill="FFFFFF"/>
            <w:vAlign w:val="center"/>
          </w:tcPr>
          <w:p w14:paraId="26E0529E"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实验成绩</w:t>
            </w:r>
          </w:p>
        </w:tc>
        <w:tc>
          <w:tcPr>
            <w:tcW w:w="3079" w:type="pct"/>
            <w:tcBorders>
              <w:top w:val="single" w:sz="8" w:space="0" w:color="4F81BD"/>
              <w:left w:val="dotted" w:sz="4" w:space="0" w:color="auto"/>
              <w:bottom w:val="single" w:sz="8" w:space="0" w:color="4F81BD"/>
              <w:right w:val="dotted" w:sz="4" w:space="0" w:color="auto"/>
            </w:tcBorders>
            <w:shd w:val="clear" w:color="auto" w:fill="FFFFFF"/>
            <w:vAlign w:val="center"/>
          </w:tcPr>
          <w:p w14:paraId="06CE4E05"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1.本课程4个学时实验，共2次虚拟仿真实验实验。</w:t>
            </w:r>
          </w:p>
          <w:p w14:paraId="3393C865"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2.成绩采用百分制，根据实验完成情况评分。</w:t>
            </w:r>
          </w:p>
          <w:p w14:paraId="477B9578"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3.考核学生对油气集输系统知识的应用能力，针对集输多相流动特点，能够根据工况，从安全角度进行分析。</w:t>
            </w:r>
          </w:p>
        </w:tc>
        <w:tc>
          <w:tcPr>
            <w:tcW w:w="761" w:type="pct"/>
            <w:tcBorders>
              <w:top w:val="single" w:sz="8" w:space="0" w:color="4F81BD"/>
              <w:left w:val="dotted" w:sz="4" w:space="0" w:color="auto"/>
              <w:bottom w:val="single" w:sz="8" w:space="0" w:color="4F81BD"/>
              <w:right w:val="dotted" w:sz="4" w:space="0" w:color="auto"/>
            </w:tcBorders>
            <w:shd w:val="clear" w:color="auto" w:fill="FFFFFF"/>
            <w:vAlign w:val="center"/>
          </w:tcPr>
          <w:p w14:paraId="6B220112"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10%</w:t>
            </w:r>
          </w:p>
        </w:tc>
        <w:tc>
          <w:tcPr>
            <w:tcW w:w="578" w:type="pct"/>
            <w:tcBorders>
              <w:top w:val="single" w:sz="8" w:space="0" w:color="4F81BD"/>
              <w:left w:val="dotted" w:sz="4" w:space="0" w:color="auto"/>
              <w:bottom w:val="single" w:sz="8" w:space="0" w:color="4F81BD"/>
              <w:right w:val="single" w:sz="8" w:space="0" w:color="4F81BD"/>
            </w:tcBorders>
            <w:shd w:val="clear" w:color="auto" w:fill="FFFFFF"/>
            <w:vAlign w:val="center"/>
          </w:tcPr>
          <w:p w14:paraId="128FFFA3"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课程目标3</w:t>
            </w:r>
          </w:p>
        </w:tc>
      </w:tr>
      <w:tr w:rsidR="00530881" w:rsidRPr="001715EA" w14:paraId="1772DFAD" w14:textId="77777777" w:rsidTr="003D1DCB">
        <w:trPr>
          <w:trHeight w:val="643"/>
          <w:jc w:val="center"/>
        </w:trPr>
        <w:tc>
          <w:tcPr>
            <w:tcW w:w="580" w:type="pct"/>
            <w:tcBorders>
              <w:top w:val="single" w:sz="8" w:space="0" w:color="4F81BD"/>
              <w:left w:val="single" w:sz="8" w:space="0" w:color="4F81BD"/>
              <w:bottom w:val="single" w:sz="8" w:space="0" w:color="4F81BD"/>
              <w:right w:val="dotted" w:sz="4" w:space="0" w:color="auto"/>
            </w:tcBorders>
            <w:shd w:val="clear" w:color="auto" w:fill="FFFFFF"/>
            <w:vAlign w:val="center"/>
          </w:tcPr>
          <w:p w14:paraId="1C2F4090"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期中测验</w:t>
            </w:r>
          </w:p>
        </w:tc>
        <w:tc>
          <w:tcPr>
            <w:tcW w:w="3079" w:type="pct"/>
            <w:tcBorders>
              <w:top w:val="single" w:sz="8" w:space="0" w:color="4F81BD"/>
              <w:left w:val="dotted" w:sz="4" w:space="0" w:color="auto"/>
              <w:bottom w:val="single" w:sz="8" w:space="0" w:color="4F81BD"/>
              <w:right w:val="dotted" w:sz="4" w:space="0" w:color="auto"/>
            </w:tcBorders>
            <w:shd w:val="clear" w:color="auto" w:fill="FFFFFF"/>
            <w:vAlign w:val="center"/>
          </w:tcPr>
          <w:p w14:paraId="5BCC9EB7" w14:textId="77777777" w:rsidR="00530881" w:rsidRPr="001715EA" w:rsidRDefault="00530881" w:rsidP="00530881">
            <w:pPr>
              <w:numPr>
                <w:ilvl w:val="0"/>
                <w:numId w:val="1"/>
              </w:numPr>
              <w:tabs>
                <w:tab w:val="left" w:pos="312"/>
              </w:tabs>
              <w:rPr>
                <w:rFonts w:ascii="仿宋" w:eastAsia="仿宋" w:hAnsi="仿宋" w:cs="仿宋"/>
                <w:color w:val="000000"/>
                <w:sz w:val="24"/>
                <w:szCs w:val="24"/>
              </w:rPr>
            </w:pPr>
            <w:r w:rsidRPr="001715EA">
              <w:rPr>
                <w:rFonts w:ascii="仿宋" w:eastAsia="仿宋" w:hAnsi="仿宋" w:cs="仿宋" w:hint="eastAsia"/>
                <w:color w:val="000000"/>
                <w:sz w:val="24"/>
                <w:szCs w:val="24"/>
              </w:rPr>
              <w:t>两次线上客观题测试</w:t>
            </w:r>
          </w:p>
          <w:p w14:paraId="53F1BA7B" w14:textId="77777777" w:rsidR="00530881" w:rsidRPr="001715EA" w:rsidRDefault="00530881" w:rsidP="00530881">
            <w:pPr>
              <w:numPr>
                <w:ilvl w:val="0"/>
                <w:numId w:val="1"/>
              </w:numPr>
              <w:tabs>
                <w:tab w:val="left" w:pos="312"/>
              </w:tabs>
              <w:rPr>
                <w:rFonts w:ascii="仿宋" w:eastAsia="仿宋" w:hAnsi="仿宋" w:cs="仿宋"/>
                <w:color w:val="000000"/>
                <w:sz w:val="24"/>
                <w:szCs w:val="24"/>
              </w:rPr>
            </w:pPr>
            <w:r w:rsidRPr="001715EA">
              <w:rPr>
                <w:rFonts w:ascii="仿宋" w:eastAsia="仿宋" w:hAnsi="仿宋" w:cs="仿宋" w:hint="eastAsia"/>
                <w:color w:val="000000"/>
                <w:sz w:val="24"/>
                <w:szCs w:val="24"/>
              </w:rPr>
              <w:t>根据教学计划，完成1-4章讲解后实施第一次线上测试；完成4-8章讲解后实施第二次线上测试</w:t>
            </w:r>
          </w:p>
        </w:tc>
        <w:tc>
          <w:tcPr>
            <w:tcW w:w="761" w:type="pct"/>
            <w:tcBorders>
              <w:top w:val="single" w:sz="8" w:space="0" w:color="4F81BD"/>
              <w:left w:val="dotted" w:sz="4" w:space="0" w:color="auto"/>
              <w:bottom w:val="single" w:sz="8" w:space="0" w:color="4F81BD"/>
              <w:right w:val="dotted" w:sz="4" w:space="0" w:color="auto"/>
            </w:tcBorders>
            <w:shd w:val="clear" w:color="auto" w:fill="FFFFFF"/>
            <w:vAlign w:val="center"/>
          </w:tcPr>
          <w:p w14:paraId="7B8BDF04"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10%</w:t>
            </w:r>
          </w:p>
        </w:tc>
        <w:tc>
          <w:tcPr>
            <w:tcW w:w="578" w:type="pct"/>
            <w:tcBorders>
              <w:top w:val="single" w:sz="8" w:space="0" w:color="4F81BD"/>
              <w:left w:val="dotted" w:sz="4" w:space="0" w:color="auto"/>
              <w:bottom w:val="single" w:sz="8" w:space="0" w:color="4F81BD"/>
              <w:right w:val="single" w:sz="8" w:space="0" w:color="4F81BD"/>
            </w:tcBorders>
            <w:shd w:val="clear" w:color="auto" w:fill="FFFFFF"/>
            <w:vAlign w:val="center"/>
          </w:tcPr>
          <w:p w14:paraId="3FF79098"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目标1-3</w:t>
            </w:r>
          </w:p>
        </w:tc>
      </w:tr>
      <w:tr w:rsidR="00530881" w:rsidRPr="001715EA" w14:paraId="65B659F1" w14:textId="77777777" w:rsidTr="003D1DCB">
        <w:trPr>
          <w:trHeight w:val="628"/>
          <w:jc w:val="center"/>
        </w:trPr>
        <w:tc>
          <w:tcPr>
            <w:tcW w:w="580" w:type="pct"/>
            <w:tcBorders>
              <w:top w:val="single" w:sz="8" w:space="0" w:color="4F81BD"/>
              <w:left w:val="single" w:sz="8" w:space="0" w:color="4F81BD"/>
              <w:bottom w:val="single" w:sz="8" w:space="0" w:color="4F81BD"/>
              <w:right w:val="dotted" w:sz="4" w:space="0" w:color="auto"/>
            </w:tcBorders>
            <w:shd w:val="clear" w:color="auto" w:fill="FFFFFF"/>
            <w:vAlign w:val="center"/>
          </w:tcPr>
          <w:p w14:paraId="2CFBBC20"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大作业及答辩</w:t>
            </w:r>
          </w:p>
        </w:tc>
        <w:tc>
          <w:tcPr>
            <w:tcW w:w="3079" w:type="pct"/>
            <w:tcBorders>
              <w:top w:val="single" w:sz="8" w:space="0" w:color="4F81BD"/>
              <w:left w:val="dotted" w:sz="4" w:space="0" w:color="auto"/>
              <w:bottom w:val="single" w:sz="8" w:space="0" w:color="4F81BD"/>
              <w:right w:val="dotted" w:sz="4" w:space="0" w:color="auto"/>
            </w:tcBorders>
            <w:shd w:val="clear" w:color="auto" w:fill="FFFFFF"/>
            <w:vAlign w:val="center"/>
          </w:tcPr>
          <w:p w14:paraId="506CEE04"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对中国石油工程设计大赛上届赛题进行分组研讨，梳理要点；形成研讨交流报告。</w:t>
            </w:r>
          </w:p>
          <w:p w14:paraId="7DF3F9D9"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lastRenderedPageBreak/>
              <w:t>基于当届</w:t>
            </w:r>
            <w:r w:rsidRPr="001715EA">
              <w:rPr>
                <w:rFonts w:ascii="仿宋" w:eastAsia="仿宋" w:hAnsi="仿宋" w:cs="仿宋" w:hint="eastAsia"/>
                <w:color w:val="000000"/>
                <w:spacing w:val="-3"/>
                <w:sz w:val="24"/>
                <w:szCs w:val="24"/>
                <w:lang w:val="en-GB"/>
              </w:rPr>
              <w:t>中国石油工程师设计大赛-地面组赛题</w:t>
            </w:r>
            <w:r w:rsidRPr="001715EA">
              <w:rPr>
                <w:rFonts w:ascii="仿宋" w:eastAsia="仿宋" w:hAnsi="仿宋" w:cs="仿宋" w:hint="eastAsia"/>
                <w:color w:val="000000"/>
                <w:spacing w:val="-3"/>
                <w:sz w:val="24"/>
                <w:szCs w:val="24"/>
              </w:rPr>
              <w:t>开展标准、文献调研综述</w:t>
            </w:r>
          </w:p>
          <w:p w14:paraId="13C4F757"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1.本课程要求完成当届</w:t>
            </w:r>
            <w:r w:rsidRPr="001715EA">
              <w:rPr>
                <w:rFonts w:ascii="仿宋" w:eastAsia="仿宋" w:hAnsi="仿宋" w:cs="仿宋" w:hint="eastAsia"/>
                <w:color w:val="000000"/>
                <w:spacing w:val="-3"/>
                <w:sz w:val="24"/>
                <w:szCs w:val="24"/>
                <w:lang w:val="en-GB"/>
              </w:rPr>
              <w:t>中国石油工程师设计大赛-地面组赛题，</w:t>
            </w:r>
            <w:r w:rsidRPr="001715EA">
              <w:rPr>
                <w:rFonts w:ascii="仿宋" w:eastAsia="仿宋" w:hAnsi="仿宋" w:cs="仿宋" w:hint="eastAsia"/>
                <w:color w:val="000000"/>
                <w:spacing w:val="-3"/>
                <w:sz w:val="24"/>
                <w:szCs w:val="24"/>
              </w:rPr>
              <w:t>向大赛提交作品</w:t>
            </w:r>
            <w:r w:rsidRPr="001715EA">
              <w:rPr>
                <w:rFonts w:ascii="仿宋" w:eastAsia="仿宋" w:hAnsi="仿宋" w:cs="仿宋" w:hint="eastAsia"/>
                <w:color w:val="000000"/>
                <w:sz w:val="24"/>
                <w:szCs w:val="24"/>
              </w:rPr>
              <w:t>。</w:t>
            </w:r>
          </w:p>
          <w:p w14:paraId="065181A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2.根据大赛成绩与设计情况评分。</w:t>
            </w:r>
          </w:p>
          <w:p w14:paraId="7FE87EBE"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大作业答辩</w:t>
            </w:r>
          </w:p>
        </w:tc>
        <w:tc>
          <w:tcPr>
            <w:tcW w:w="761" w:type="pct"/>
            <w:tcBorders>
              <w:top w:val="single" w:sz="8" w:space="0" w:color="4F81BD"/>
              <w:left w:val="dotted" w:sz="4" w:space="0" w:color="auto"/>
              <w:bottom w:val="single" w:sz="8" w:space="0" w:color="4F81BD"/>
              <w:right w:val="dotted" w:sz="4" w:space="0" w:color="auto"/>
            </w:tcBorders>
            <w:shd w:val="clear" w:color="auto" w:fill="FFFFFF"/>
            <w:vAlign w:val="center"/>
          </w:tcPr>
          <w:p w14:paraId="1553485F"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lastRenderedPageBreak/>
              <w:t>30%</w:t>
            </w:r>
          </w:p>
        </w:tc>
        <w:tc>
          <w:tcPr>
            <w:tcW w:w="578" w:type="pct"/>
            <w:tcBorders>
              <w:top w:val="single" w:sz="8" w:space="0" w:color="4F81BD"/>
              <w:left w:val="dotted" w:sz="4" w:space="0" w:color="auto"/>
              <w:bottom w:val="single" w:sz="8" w:space="0" w:color="4F81BD"/>
              <w:right w:val="single" w:sz="8" w:space="0" w:color="4F81BD"/>
            </w:tcBorders>
            <w:shd w:val="clear" w:color="auto" w:fill="FFFFFF"/>
            <w:vAlign w:val="center"/>
          </w:tcPr>
          <w:p w14:paraId="370C160A"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课程目标4-6</w:t>
            </w:r>
          </w:p>
        </w:tc>
      </w:tr>
      <w:tr w:rsidR="00530881" w:rsidRPr="001715EA" w14:paraId="7D3DA828" w14:textId="77777777" w:rsidTr="003D1DCB">
        <w:trPr>
          <w:trHeight w:val="628"/>
          <w:jc w:val="center"/>
        </w:trPr>
        <w:tc>
          <w:tcPr>
            <w:tcW w:w="580" w:type="pct"/>
            <w:tcBorders>
              <w:top w:val="single" w:sz="8" w:space="0" w:color="4F81BD"/>
              <w:left w:val="single" w:sz="8" w:space="0" w:color="4F81BD"/>
              <w:bottom w:val="single" w:sz="8" w:space="0" w:color="4F81BD"/>
              <w:right w:val="dotted" w:sz="4" w:space="0" w:color="auto"/>
            </w:tcBorders>
            <w:shd w:val="clear" w:color="auto" w:fill="FFFFFF"/>
            <w:vAlign w:val="center"/>
          </w:tcPr>
          <w:p w14:paraId="1FA56A5D"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期末考试</w:t>
            </w:r>
          </w:p>
        </w:tc>
        <w:tc>
          <w:tcPr>
            <w:tcW w:w="3079" w:type="pct"/>
            <w:tcBorders>
              <w:top w:val="single" w:sz="8" w:space="0" w:color="4F81BD"/>
              <w:left w:val="dotted" w:sz="4" w:space="0" w:color="auto"/>
              <w:bottom w:val="single" w:sz="8" w:space="0" w:color="4F81BD"/>
              <w:right w:val="dotted" w:sz="4" w:space="0" w:color="auto"/>
            </w:tcBorders>
            <w:shd w:val="clear" w:color="auto" w:fill="FFFFFF"/>
            <w:vAlign w:val="center"/>
          </w:tcPr>
          <w:p w14:paraId="27EE3645"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1.闭卷考试，成绩采用百分制，卷面成绩总分100分。</w:t>
            </w:r>
          </w:p>
          <w:p w14:paraId="78A4CFA7"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2.主要考核学生对油气集输系统基本知识的掌握能力，学生综合运用所学知识分析问题、解决问题的能力，题型主要有简答题、分析题等。</w:t>
            </w:r>
          </w:p>
        </w:tc>
        <w:tc>
          <w:tcPr>
            <w:tcW w:w="761" w:type="pct"/>
            <w:tcBorders>
              <w:top w:val="single" w:sz="8" w:space="0" w:color="4F81BD"/>
              <w:left w:val="dotted" w:sz="4" w:space="0" w:color="auto"/>
              <w:bottom w:val="single" w:sz="8" w:space="0" w:color="4F81BD"/>
              <w:right w:val="dotted" w:sz="4" w:space="0" w:color="auto"/>
            </w:tcBorders>
            <w:shd w:val="clear" w:color="auto" w:fill="FFFFFF"/>
            <w:vAlign w:val="center"/>
          </w:tcPr>
          <w:p w14:paraId="65BF2AA8"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40%</w:t>
            </w:r>
          </w:p>
        </w:tc>
        <w:tc>
          <w:tcPr>
            <w:tcW w:w="578" w:type="pct"/>
            <w:tcBorders>
              <w:top w:val="single" w:sz="8" w:space="0" w:color="4F81BD"/>
              <w:left w:val="dotted" w:sz="4" w:space="0" w:color="auto"/>
              <w:bottom w:val="single" w:sz="8" w:space="0" w:color="4F81BD"/>
              <w:right w:val="single" w:sz="8" w:space="0" w:color="4F81BD"/>
            </w:tcBorders>
            <w:shd w:val="clear" w:color="auto" w:fill="FFFFFF"/>
            <w:vAlign w:val="center"/>
          </w:tcPr>
          <w:p w14:paraId="71D46BEF"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目标1-3</w:t>
            </w:r>
          </w:p>
        </w:tc>
      </w:tr>
    </w:tbl>
    <w:p w14:paraId="4168FBF2" w14:textId="77777777" w:rsidR="00530881" w:rsidRDefault="00530881" w:rsidP="00530881">
      <w:pPr>
        <w:adjustRightInd w:val="0"/>
        <w:snapToGrid w:val="0"/>
        <w:spacing w:line="300" w:lineRule="auto"/>
        <w:jc w:val="center"/>
        <w:rPr>
          <w:rFonts w:ascii="仿宋" w:eastAsia="仿宋" w:hAnsi="仿宋" w:cs="仿宋"/>
          <w:sz w:val="28"/>
          <w:szCs w:val="28"/>
          <w:lang w:val="en-GB"/>
        </w:rPr>
      </w:pPr>
      <w:r>
        <w:rPr>
          <w:rFonts w:ascii="仿宋" w:eastAsia="仿宋" w:hAnsi="仿宋" w:cs="仿宋" w:hint="eastAsia"/>
          <w:sz w:val="28"/>
          <w:szCs w:val="28"/>
          <w:lang w:val="en-GB"/>
        </w:rPr>
        <w:t>课程评分标准</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8"/>
        <w:gridCol w:w="1920"/>
        <w:gridCol w:w="2140"/>
        <w:gridCol w:w="1980"/>
        <w:gridCol w:w="2125"/>
      </w:tblGrid>
      <w:tr w:rsidR="00530881" w:rsidRPr="001715EA" w14:paraId="478C3DAD" w14:textId="77777777" w:rsidTr="003D1DCB">
        <w:trPr>
          <w:trHeight w:val="318"/>
          <w:jc w:val="center"/>
        </w:trPr>
        <w:tc>
          <w:tcPr>
            <w:tcW w:w="938" w:type="dxa"/>
            <w:tcBorders>
              <w:top w:val="single" w:sz="8" w:space="0" w:color="4F81BD"/>
              <w:left w:val="single" w:sz="8" w:space="0" w:color="4F81BD"/>
              <w:bottom w:val="single" w:sz="8" w:space="0" w:color="4F81BD"/>
              <w:right w:val="dotted" w:sz="4" w:space="0" w:color="auto"/>
            </w:tcBorders>
            <w:shd w:val="clear" w:color="auto" w:fill="4F81BD"/>
            <w:vAlign w:val="center"/>
          </w:tcPr>
          <w:p w14:paraId="73963EAA" w14:textId="77777777" w:rsidR="00530881" w:rsidRPr="001715EA" w:rsidRDefault="00530881" w:rsidP="003D1DCB">
            <w:pPr>
              <w:jc w:val="center"/>
              <w:rPr>
                <w:rFonts w:ascii="仿宋" w:eastAsia="仿宋" w:hAnsi="仿宋" w:cs="仿宋"/>
                <w:color w:val="FFFFFF"/>
                <w:sz w:val="24"/>
                <w:szCs w:val="24"/>
              </w:rPr>
            </w:pPr>
            <w:r w:rsidRPr="001715EA">
              <w:rPr>
                <w:rFonts w:ascii="仿宋" w:eastAsia="仿宋" w:hAnsi="仿宋" w:cs="仿宋" w:hint="eastAsia"/>
                <w:color w:val="FFFFFF"/>
                <w:sz w:val="24"/>
                <w:szCs w:val="24"/>
              </w:rPr>
              <w:t>考核环节</w:t>
            </w:r>
          </w:p>
        </w:tc>
        <w:tc>
          <w:tcPr>
            <w:tcW w:w="1920" w:type="dxa"/>
            <w:tcBorders>
              <w:top w:val="single" w:sz="8" w:space="0" w:color="4F81BD"/>
              <w:left w:val="dotted" w:sz="4" w:space="0" w:color="auto"/>
              <w:bottom w:val="single" w:sz="8" w:space="0" w:color="4F81BD"/>
              <w:right w:val="dotted" w:sz="4" w:space="0" w:color="auto"/>
            </w:tcBorders>
            <w:shd w:val="clear" w:color="auto" w:fill="4F81BD"/>
            <w:vAlign w:val="center"/>
          </w:tcPr>
          <w:p w14:paraId="65EEF219" w14:textId="77777777" w:rsidR="00530881" w:rsidRPr="001715EA" w:rsidRDefault="00530881" w:rsidP="003D1DCB">
            <w:pPr>
              <w:jc w:val="center"/>
              <w:rPr>
                <w:rFonts w:ascii="仿宋" w:eastAsia="仿宋" w:hAnsi="仿宋" w:cs="仿宋"/>
                <w:color w:val="FFFFFF"/>
                <w:sz w:val="24"/>
                <w:szCs w:val="24"/>
              </w:rPr>
            </w:pPr>
            <w:r w:rsidRPr="001715EA">
              <w:rPr>
                <w:rFonts w:ascii="仿宋" w:eastAsia="仿宋" w:hAnsi="仿宋" w:cs="仿宋" w:hint="eastAsia"/>
                <w:color w:val="FFFFFF"/>
                <w:sz w:val="24"/>
                <w:szCs w:val="24"/>
              </w:rPr>
              <w:t>&lt;60</w:t>
            </w:r>
          </w:p>
        </w:tc>
        <w:tc>
          <w:tcPr>
            <w:tcW w:w="2140" w:type="dxa"/>
            <w:tcBorders>
              <w:top w:val="single" w:sz="8" w:space="0" w:color="4F81BD"/>
              <w:left w:val="dotted" w:sz="4" w:space="0" w:color="auto"/>
              <w:bottom w:val="single" w:sz="8" w:space="0" w:color="4F81BD"/>
              <w:right w:val="dotted" w:sz="4" w:space="0" w:color="auto"/>
            </w:tcBorders>
            <w:shd w:val="clear" w:color="auto" w:fill="4F81BD"/>
            <w:vAlign w:val="center"/>
          </w:tcPr>
          <w:p w14:paraId="1ACA8A1E" w14:textId="77777777" w:rsidR="00530881" w:rsidRPr="001715EA" w:rsidRDefault="00530881" w:rsidP="003D1DCB">
            <w:pPr>
              <w:jc w:val="center"/>
              <w:rPr>
                <w:rFonts w:ascii="仿宋" w:eastAsia="仿宋" w:hAnsi="仿宋" w:cs="仿宋"/>
                <w:color w:val="FFFFFF"/>
                <w:sz w:val="24"/>
                <w:szCs w:val="24"/>
              </w:rPr>
            </w:pPr>
            <w:r w:rsidRPr="001715EA">
              <w:rPr>
                <w:rFonts w:ascii="仿宋" w:eastAsia="仿宋" w:hAnsi="仿宋" w:cs="仿宋" w:hint="eastAsia"/>
                <w:color w:val="FFFFFF"/>
                <w:sz w:val="24"/>
                <w:szCs w:val="24"/>
              </w:rPr>
              <w:t>60-75</w:t>
            </w:r>
          </w:p>
        </w:tc>
        <w:tc>
          <w:tcPr>
            <w:tcW w:w="1980" w:type="dxa"/>
            <w:tcBorders>
              <w:top w:val="single" w:sz="8" w:space="0" w:color="4F81BD"/>
              <w:left w:val="dotted" w:sz="4" w:space="0" w:color="auto"/>
              <w:bottom w:val="single" w:sz="8" w:space="0" w:color="4F81BD"/>
              <w:right w:val="dotted" w:sz="4" w:space="0" w:color="auto"/>
            </w:tcBorders>
            <w:shd w:val="clear" w:color="auto" w:fill="4F81BD"/>
            <w:vAlign w:val="center"/>
          </w:tcPr>
          <w:p w14:paraId="67215CFD" w14:textId="77777777" w:rsidR="00530881" w:rsidRPr="001715EA" w:rsidRDefault="00530881" w:rsidP="003D1DCB">
            <w:pPr>
              <w:jc w:val="center"/>
              <w:rPr>
                <w:rFonts w:ascii="仿宋" w:eastAsia="仿宋" w:hAnsi="仿宋" w:cs="仿宋"/>
                <w:color w:val="FFFFFF"/>
                <w:sz w:val="24"/>
                <w:szCs w:val="24"/>
              </w:rPr>
            </w:pPr>
            <w:r w:rsidRPr="001715EA">
              <w:rPr>
                <w:rFonts w:ascii="仿宋" w:eastAsia="仿宋" w:hAnsi="仿宋" w:cs="仿宋" w:hint="eastAsia"/>
                <w:color w:val="FFFFFF"/>
                <w:sz w:val="24"/>
                <w:szCs w:val="24"/>
              </w:rPr>
              <w:t>75-90</w:t>
            </w:r>
          </w:p>
        </w:tc>
        <w:tc>
          <w:tcPr>
            <w:tcW w:w="2125" w:type="dxa"/>
            <w:tcBorders>
              <w:top w:val="single" w:sz="8" w:space="0" w:color="4F81BD"/>
              <w:left w:val="dotted" w:sz="4" w:space="0" w:color="auto"/>
              <w:bottom w:val="single" w:sz="8" w:space="0" w:color="4F81BD"/>
              <w:right w:val="single" w:sz="8" w:space="0" w:color="4F81BD"/>
            </w:tcBorders>
            <w:shd w:val="clear" w:color="auto" w:fill="4F81BD"/>
            <w:vAlign w:val="center"/>
          </w:tcPr>
          <w:p w14:paraId="05F949AE" w14:textId="77777777" w:rsidR="00530881" w:rsidRPr="001715EA" w:rsidRDefault="00530881" w:rsidP="003D1DCB">
            <w:pPr>
              <w:jc w:val="center"/>
              <w:rPr>
                <w:rFonts w:ascii="仿宋" w:eastAsia="仿宋" w:hAnsi="仿宋" w:cs="仿宋"/>
                <w:color w:val="FFFFFF"/>
                <w:sz w:val="24"/>
                <w:szCs w:val="24"/>
              </w:rPr>
            </w:pPr>
            <w:r w:rsidRPr="001715EA">
              <w:rPr>
                <w:rFonts w:ascii="仿宋" w:eastAsia="仿宋" w:hAnsi="仿宋" w:cs="仿宋" w:hint="eastAsia"/>
                <w:color w:val="FFFFFF"/>
                <w:sz w:val="24"/>
                <w:szCs w:val="24"/>
              </w:rPr>
              <w:t>90-100</w:t>
            </w:r>
          </w:p>
        </w:tc>
      </w:tr>
      <w:tr w:rsidR="00530881" w:rsidRPr="001715EA" w14:paraId="7A192207" w14:textId="77777777" w:rsidTr="003D1DCB">
        <w:trPr>
          <w:trHeight w:val="2844"/>
          <w:jc w:val="center"/>
        </w:trPr>
        <w:tc>
          <w:tcPr>
            <w:tcW w:w="938" w:type="dxa"/>
            <w:tcBorders>
              <w:top w:val="single" w:sz="8" w:space="0" w:color="4F81BD"/>
              <w:left w:val="single" w:sz="8" w:space="0" w:color="4F81BD"/>
              <w:bottom w:val="single" w:sz="8" w:space="0" w:color="4F81BD"/>
              <w:right w:val="dotted" w:sz="4" w:space="0" w:color="auto"/>
            </w:tcBorders>
            <w:shd w:val="clear" w:color="auto" w:fill="FFFFFF"/>
            <w:vAlign w:val="center"/>
          </w:tcPr>
          <w:p w14:paraId="6A26E8CB"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平时成绩</w:t>
            </w:r>
          </w:p>
        </w:tc>
        <w:tc>
          <w:tcPr>
            <w:tcW w:w="1920" w:type="dxa"/>
            <w:tcBorders>
              <w:top w:val="single" w:sz="8" w:space="0" w:color="4F81BD"/>
              <w:left w:val="dotted" w:sz="4" w:space="0" w:color="auto"/>
              <w:bottom w:val="single" w:sz="8" w:space="0" w:color="4F81BD"/>
              <w:right w:val="dotted" w:sz="4" w:space="0" w:color="auto"/>
            </w:tcBorders>
            <w:shd w:val="clear" w:color="auto" w:fill="FFFFFF"/>
            <w:vAlign w:val="center"/>
          </w:tcPr>
          <w:p w14:paraId="71BD9081"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作业抄袭，未能按时完成，解题思路混乱</w:t>
            </w:r>
          </w:p>
          <w:p w14:paraId="105DA020"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随堂测试及签到总成绩在班级排名后40%</w:t>
            </w:r>
          </w:p>
        </w:tc>
        <w:tc>
          <w:tcPr>
            <w:tcW w:w="2140" w:type="dxa"/>
            <w:tcBorders>
              <w:top w:val="single" w:sz="8" w:space="0" w:color="4F81BD"/>
              <w:left w:val="dotted" w:sz="4" w:space="0" w:color="auto"/>
              <w:bottom w:val="single" w:sz="8" w:space="0" w:color="4F81BD"/>
              <w:right w:val="dotted" w:sz="4" w:space="0" w:color="auto"/>
            </w:tcBorders>
            <w:shd w:val="clear" w:color="auto" w:fill="FFFFFF"/>
            <w:vAlign w:val="center"/>
          </w:tcPr>
          <w:p w14:paraId="72D49775"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独立思考、按时完成，解题思路比较清晰、步骤比较完整、格式比较合理、答案准确</w:t>
            </w:r>
          </w:p>
          <w:p w14:paraId="60C3474F"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随堂测试及签到总成绩在班级排名前26-60%</w:t>
            </w:r>
          </w:p>
        </w:tc>
        <w:tc>
          <w:tcPr>
            <w:tcW w:w="1980" w:type="dxa"/>
            <w:tcBorders>
              <w:top w:val="single" w:sz="8" w:space="0" w:color="4F81BD"/>
              <w:left w:val="dotted" w:sz="4" w:space="0" w:color="auto"/>
              <w:bottom w:val="single" w:sz="8" w:space="0" w:color="4F81BD"/>
              <w:right w:val="dotted" w:sz="4" w:space="0" w:color="auto"/>
            </w:tcBorders>
            <w:shd w:val="clear" w:color="auto" w:fill="FFFFFF"/>
            <w:vAlign w:val="center"/>
          </w:tcPr>
          <w:p w14:paraId="3E937971"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独立思考、按时完成，解题思路比较清晰、步骤比较完整、格式合理、答案准确</w:t>
            </w:r>
          </w:p>
          <w:p w14:paraId="3AA6B26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随堂测试及签到总成绩在班级排名前11-25%</w:t>
            </w:r>
          </w:p>
        </w:tc>
        <w:tc>
          <w:tcPr>
            <w:tcW w:w="2125" w:type="dxa"/>
            <w:tcBorders>
              <w:top w:val="single" w:sz="8" w:space="0" w:color="4F81BD"/>
              <w:left w:val="dotted" w:sz="4" w:space="0" w:color="auto"/>
              <w:bottom w:val="single" w:sz="8" w:space="0" w:color="4F81BD"/>
              <w:right w:val="single" w:sz="8" w:space="0" w:color="4F81BD"/>
            </w:tcBorders>
            <w:shd w:val="clear" w:color="auto" w:fill="FFFFFF"/>
            <w:vAlign w:val="center"/>
          </w:tcPr>
          <w:p w14:paraId="2817D94A"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独立思考、按时完成，解题思路清晰、步骤完整、格式合理、答案准确</w:t>
            </w:r>
          </w:p>
          <w:p w14:paraId="35F7AF9E"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随堂测试及签到总成绩在班级排名前10%</w:t>
            </w:r>
          </w:p>
        </w:tc>
      </w:tr>
      <w:tr w:rsidR="00530881" w:rsidRPr="001715EA" w14:paraId="48F8E701" w14:textId="77777777" w:rsidTr="003D1DCB">
        <w:trPr>
          <w:trHeight w:val="318"/>
          <w:jc w:val="center"/>
        </w:trPr>
        <w:tc>
          <w:tcPr>
            <w:tcW w:w="938" w:type="dxa"/>
            <w:tcBorders>
              <w:top w:val="single" w:sz="8" w:space="0" w:color="4F81BD"/>
              <w:left w:val="single" w:sz="8" w:space="0" w:color="4F81BD"/>
              <w:bottom w:val="single" w:sz="8" w:space="0" w:color="4F81BD"/>
              <w:right w:val="dotted" w:sz="4" w:space="0" w:color="auto"/>
            </w:tcBorders>
            <w:shd w:val="clear" w:color="auto" w:fill="FFFFFF"/>
            <w:vAlign w:val="center"/>
          </w:tcPr>
          <w:p w14:paraId="313B5A62"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实验成绩</w:t>
            </w:r>
          </w:p>
        </w:tc>
        <w:tc>
          <w:tcPr>
            <w:tcW w:w="1920" w:type="dxa"/>
            <w:tcBorders>
              <w:top w:val="single" w:sz="8" w:space="0" w:color="4F81BD"/>
              <w:left w:val="dotted" w:sz="4" w:space="0" w:color="auto"/>
              <w:bottom w:val="single" w:sz="8" w:space="0" w:color="4F81BD"/>
              <w:right w:val="dotted" w:sz="4" w:space="0" w:color="auto"/>
            </w:tcBorders>
            <w:shd w:val="clear" w:color="auto" w:fill="FFFFFF"/>
            <w:vAlign w:val="center"/>
          </w:tcPr>
          <w:p w14:paraId="4D07348C"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实验过程中不能完成实验要求，不能得到合理的实验结论，不能从安全角度给出有效分析</w:t>
            </w:r>
          </w:p>
        </w:tc>
        <w:tc>
          <w:tcPr>
            <w:tcW w:w="2140" w:type="dxa"/>
            <w:tcBorders>
              <w:top w:val="single" w:sz="8" w:space="0" w:color="4F81BD"/>
              <w:left w:val="dotted" w:sz="4" w:space="0" w:color="auto"/>
              <w:bottom w:val="single" w:sz="8" w:space="0" w:color="4F81BD"/>
              <w:right w:val="dotted" w:sz="4" w:space="0" w:color="auto"/>
            </w:tcBorders>
            <w:shd w:val="clear" w:color="auto" w:fill="FFFFFF"/>
            <w:vAlign w:val="center"/>
          </w:tcPr>
          <w:p w14:paraId="2877BB9F"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实验过程中认真完成实验要求，不能得到合理的实验结论，实验报告格式正确，步骤叙述清楚，没有正确分析实验数据，但是结合理论分析能从安全角度给出一定的有效分析</w:t>
            </w:r>
          </w:p>
        </w:tc>
        <w:tc>
          <w:tcPr>
            <w:tcW w:w="1980" w:type="dxa"/>
            <w:tcBorders>
              <w:top w:val="single" w:sz="8" w:space="0" w:color="4F81BD"/>
              <w:left w:val="dotted" w:sz="4" w:space="0" w:color="auto"/>
              <w:bottom w:val="single" w:sz="8" w:space="0" w:color="4F81BD"/>
              <w:right w:val="dotted" w:sz="4" w:space="0" w:color="auto"/>
            </w:tcBorders>
            <w:shd w:val="clear" w:color="auto" w:fill="FFFFFF"/>
            <w:vAlign w:val="center"/>
          </w:tcPr>
          <w:p w14:paraId="146597A9"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实验过程中认真完成实验要求，得到合理的实验结论，实验报告格式正确，步骤叙述比较清楚，正确分析实验数据，能从安全角度给出比较有效分析</w:t>
            </w:r>
          </w:p>
        </w:tc>
        <w:tc>
          <w:tcPr>
            <w:tcW w:w="2125" w:type="dxa"/>
            <w:tcBorders>
              <w:top w:val="single" w:sz="8" w:space="0" w:color="4F81BD"/>
              <w:left w:val="dotted" w:sz="4" w:space="0" w:color="auto"/>
              <w:bottom w:val="single" w:sz="8" w:space="0" w:color="4F81BD"/>
              <w:right w:val="single" w:sz="8" w:space="0" w:color="4F81BD"/>
            </w:tcBorders>
            <w:shd w:val="clear" w:color="auto" w:fill="FFFFFF"/>
            <w:vAlign w:val="center"/>
          </w:tcPr>
          <w:p w14:paraId="1877DA28"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实验过程中认真完成实验要求，得到合理的实验结论，实验报告格式正确，步骤叙述清楚，正确分析实验数据，能从安全角度给出有效分析</w:t>
            </w:r>
          </w:p>
        </w:tc>
      </w:tr>
      <w:tr w:rsidR="00530881" w:rsidRPr="001715EA" w14:paraId="4DAAF29E" w14:textId="77777777" w:rsidTr="003D1DCB">
        <w:trPr>
          <w:trHeight w:val="1560"/>
          <w:jc w:val="center"/>
        </w:trPr>
        <w:tc>
          <w:tcPr>
            <w:tcW w:w="938"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FC2ED3B"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期中测验</w:t>
            </w:r>
          </w:p>
        </w:tc>
        <w:tc>
          <w:tcPr>
            <w:tcW w:w="1920" w:type="dxa"/>
            <w:tcBorders>
              <w:top w:val="single" w:sz="8" w:space="0" w:color="4F81BD"/>
              <w:left w:val="dotted" w:sz="4" w:space="0" w:color="auto"/>
              <w:bottom w:val="single" w:sz="8" w:space="0" w:color="4F81BD"/>
              <w:right w:val="dotted" w:sz="4" w:space="0" w:color="auto"/>
            </w:tcBorders>
            <w:shd w:val="clear" w:color="auto" w:fill="FFFFFF"/>
            <w:vAlign w:val="center"/>
          </w:tcPr>
          <w:p w14:paraId="44139812"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对课程内容掌握较差，根据两次成绩取平均成绩低于60分者</w:t>
            </w:r>
          </w:p>
        </w:tc>
        <w:tc>
          <w:tcPr>
            <w:tcW w:w="2140" w:type="dxa"/>
            <w:tcBorders>
              <w:top w:val="single" w:sz="8" w:space="0" w:color="4F81BD"/>
              <w:left w:val="dotted" w:sz="4" w:space="0" w:color="auto"/>
              <w:bottom w:val="single" w:sz="8" w:space="0" w:color="4F81BD"/>
              <w:right w:val="dotted" w:sz="4" w:space="0" w:color="auto"/>
            </w:tcBorders>
            <w:shd w:val="clear" w:color="auto" w:fill="FFFFFF"/>
            <w:vAlign w:val="center"/>
          </w:tcPr>
          <w:p w14:paraId="3EBDC7C0"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对课程内容掌握一般，根据两次成绩取平均成绩介于60-75分者</w:t>
            </w:r>
          </w:p>
        </w:tc>
        <w:tc>
          <w:tcPr>
            <w:tcW w:w="1980" w:type="dxa"/>
            <w:tcBorders>
              <w:top w:val="single" w:sz="8" w:space="0" w:color="4F81BD"/>
              <w:left w:val="dotted" w:sz="4" w:space="0" w:color="auto"/>
              <w:bottom w:val="single" w:sz="8" w:space="0" w:color="4F81BD"/>
              <w:right w:val="dotted" w:sz="4" w:space="0" w:color="auto"/>
            </w:tcBorders>
            <w:shd w:val="clear" w:color="auto" w:fill="FFFFFF"/>
            <w:vAlign w:val="center"/>
          </w:tcPr>
          <w:p w14:paraId="11A4E918"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对课程内容掌握较好，根据两次成绩取平均成绩介于75-90分者</w:t>
            </w:r>
          </w:p>
        </w:tc>
        <w:tc>
          <w:tcPr>
            <w:tcW w:w="2125" w:type="dxa"/>
            <w:tcBorders>
              <w:top w:val="single" w:sz="8" w:space="0" w:color="4F81BD"/>
              <w:left w:val="dotted" w:sz="4" w:space="0" w:color="auto"/>
              <w:bottom w:val="single" w:sz="8" w:space="0" w:color="4F81BD"/>
              <w:right w:val="single" w:sz="8" w:space="0" w:color="4F81BD"/>
            </w:tcBorders>
            <w:shd w:val="clear" w:color="auto" w:fill="FFFFFF"/>
            <w:vAlign w:val="center"/>
          </w:tcPr>
          <w:p w14:paraId="7E8EF71C"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对课程内容掌握很好，根据两次成绩取平均成绩介于90-100分者</w:t>
            </w:r>
          </w:p>
        </w:tc>
      </w:tr>
      <w:tr w:rsidR="00530881" w:rsidRPr="001715EA" w14:paraId="5756122F" w14:textId="77777777" w:rsidTr="003D1DCB">
        <w:trPr>
          <w:trHeight w:val="3441"/>
          <w:jc w:val="center"/>
        </w:trPr>
        <w:tc>
          <w:tcPr>
            <w:tcW w:w="938" w:type="dxa"/>
            <w:tcBorders>
              <w:top w:val="single" w:sz="8" w:space="0" w:color="4F81BD"/>
              <w:left w:val="single" w:sz="8" w:space="0" w:color="4F81BD"/>
              <w:bottom w:val="single" w:sz="8" w:space="0" w:color="4F81BD"/>
              <w:right w:val="dotted" w:sz="4" w:space="0" w:color="auto"/>
            </w:tcBorders>
            <w:shd w:val="clear" w:color="auto" w:fill="FFFFFF"/>
            <w:vAlign w:val="center"/>
          </w:tcPr>
          <w:p w14:paraId="322A8492"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lastRenderedPageBreak/>
              <w:t>大作业及答辩</w:t>
            </w:r>
          </w:p>
        </w:tc>
        <w:tc>
          <w:tcPr>
            <w:tcW w:w="1920" w:type="dxa"/>
            <w:tcBorders>
              <w:top w:val="single" w:sz="8" w:space="0" w:color="4F81BD"/>
              <w:left w:val="dotted" w:sz="4" w:space="0" w:color="auto"/>
              <w:bottom w:val="single" w:sz="8" w:space="0" w:color="4F81BD"/>
              <w:right w:val="dotted" w:sz="4" w:space="0" w:color="auto"/>
            </w:tcBorders>
            <w:shd w:val="clear" w:color="auto" w:fill="FFFFFF"/>
            <w:vAlign w:val="center"/>
          </w:tcPr>
          <w:p w14:paraId="242CA178"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无交流规划，研讨交流记录少，研究报告对大作业完成指导作用较弱</w:t>
            </w:r>
          </w:p>
          <w:p w14:paraId="5F3B368F"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pacing w:val="-3"/>
                <w:sz w:val="24"/>
                <w:szCs w:val="24"/>
              </w:rPr>
              <w:t>标准、文献调研综述数目低于3篇</w:t>
            </w:r>
          </w:p>
          <w:p w14:paraId="7DA8EE1A"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大作业完成度差，设计思路不清晰，规范度差，提交大赛成品或未提交成功。</w:t>
            </w:r>
          </w:p>
          <w:p w14:paraId="54C359B3"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未在规定时间内完成汇报，汇报思路混乱，无法回答问题</w:t>
            </w:r>
          </w:p>
        </w:tc>
        <w:tc>
          <w:tcPr>
            <w:tcW w:w="2140" w:type="dxa"/>
            <w:tcBorders>
              <w:top w:val="single" w:sz="8" w:space="0" w:color="4F81BD"/>
              <w:left w:val="dotted" w:sz="4" w:space="0" w:color="auto"/>
              <w:bottom w:val="single" w:sz="8" w:space="0" w:color="4F81BD"/>
              <w:right w:val="dotted" w:sz="4" w:space="0" w:color="auto"/>
            </w:tcBorders>
            <w:shd w:val="clear" w:color="auto" w:fill="FFFFFF"/>
            <w:vAlign w:val="center"/>
          </w:tcPr>
          <w:p w14:paraId="65550469"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有交流规划，有部分研讨交流记录，研究报告对大作业完成的指导作用较弱</w:t>
            </w:r>
          </w:p>
          <w:p w14:paraId="09972EE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pacing w:val="-3"/>
                <w:sz w:val="24"/>
                <w:szCs w:val="24"/>
              </w:rPr>
              <w:t>标准、文献调研综述数目介于3-8篇</w:t>
            </w:r>
          </w:p>
          <w:p w14:paraId="07EFFA77"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大作业完成度一般，设计思路清晰，符合一定的规范，提交大赛成品，未成功获得有效作品。</w:t>
            </w:r>
          </w:p>
          <w:p w14:paraId="1C685BD5"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未在规定时间内完成汇报，汇报思路较清晰，有回答问题，但是与准确度偏差较大</w:t>
            </w:r>
          </w:p>
        </w:tc>
        <w:tc>
          <w:tcPr>
            <w:tcW w:w="1980" w:type="dxa"/>
            <w:tcBorders>
              <w:top w:val="single" w:sz="8" w:space="0" w:color="4F81BD"/>
              <w:left w:val="dotted" w:sz="4" w:space="0" w:color="auto"/>
              <w:bottom w:val="single" w:sz="8" w:space="0" w:color="4F81BD"/>
              <w:right w:val="dotted" w:sz="4" w:space="0" w:color="auto"/>
            </w:tcBorders>
            <w:shd w:val="clear" w:color="auto" w:fill="FFFFFF"/>
            <w:vAlign w:val="center"/>
          </w:tcPr>
          <w:p w14:paraId="6A97C17C"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有定期交流规划，有研讨交流记录，对大作业完成有一定的指导</w:t>
            </w:r>
          </w:p>
          <w:p w14:paraId="5AE69A59"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pacing w:val="-3"/>
                <w:sz w:val="24"/>
                <w:szCs w:val="24"/>
              </w:rPr>
              <w:t>标准、文献调研综述数目介于9-15篇</w:t>
            </w:r>
          </w:p>
          <w:p w14:paraId="5BBC1C2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大作业完成度较好，设计思路清晰，符合一定的规范，提交大赛成品，未成功获得有效作品。</w:t>
            </w:r>
          </w:p>
          <w:p w14:paraId="5A91CE00"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在规定时间内完成汇报，且汇报思路清晰，回答问题较为准确</w:t>
            </w:r>
          </w:p>
        </w:tc>
        <w:tc>
          <w:tcPr>
            <w:tcW w:w="2125" w:type="dxa"/>
            <w:tcBorders>
              <w:top w:val="single" w:sz="8" w:space="0" w:color="4F81BD"/>
              <w:left w:val="dotted" w:sz="4" w:space="0" w:color="auto"/>
              <w:bottom w:val="single" w:sz="8" w:space="0" w:color="4F81BD"/>
              <w:right w:val="single" w:sz="8" w:space="0" w:color="4F81BD"/>
            </w:tcBorders>
            <w:shd w:val="clear" w:color="auto" w:fill="FFFFFF"/>
            <w:vAlign w:val="center"/>
          </w:tcPr>
          <w:p w14:paraId="2698C62B"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有定期交流规划，研讨交流记录详尽，研究报告能有效指导大作业的完成</w:t>
            </w:r>
          </w:p>
          <w:p w14:paraId="4DF7363D"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pacing w:val="-3"/>
                <w:sz w:val="24"/>
                <w:szCs w:val="24"/>
              </w:rPr>
              <w:t>标准、文献调研综述数目多于15篇</w:t>
            </w:r>
          </w:p>
          <w:p w14:paraId="1FE89B1A"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大作业完成度高，设计思路清晰，符合规范，提交大赛成品，并成功获得有效作品。</w:t>
            </w:r>
          </w:p>
          <w:p w14:paraId="3992FF39"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在规定时间内完成汇报，且汇报思路清晰，回答问题准确</w:t>
            </w:r>
          </w:p>
        </w:tc>
      </w:tr>
      <w:tr w:rsidR="00530881" w:rsidRPr="001715EA" w14:paraId="3726EEA2" w14:textId="77777777" w:rsidTr="003D1DCB">
        <w:trPr>
          <w:trHeight w:val="318"/>
          <w:jc w:val="center"/>
        </w:trPr>
        <w:tc>
          <w:tcPr>
            <w:tcW w:w="938" w:type="dxa"/>
            <w:tcBorders>
              <w:top w:val="single" w:sz="8" w:space="0" w:color="4F81BD"/>
              <w:left w:val="single" w:sz="8" w:space="0" w:color="4F81BD"/>
              <w:bottom w:val="single" w:sz="8" w:space="0" w:color="4F81BD"/>
              <w:right w:val="dotted" w:sz="4" w:space="0" w:color="auto"/>
            </w:tcBorders>
            <w:shd w:val="clear" w:color="auto" w:fill="FFFFFF"/>
            <w:vAlign w:val="center"/>
          </w:tcPr>
          <w:p w14:paraId="1C04852B" w14:textId="77777777" w:rsidR="00530881" w:rsidRPr="001715EA" w:rsidRDefault="00530881" w:rsidP="003D1DCB">
            <w:pPr>
              <w:jc w:val="center"/>
              <w:rPr>
                <w:rFonts w:ascii="仿宋" w:eastAsia="仿宋" w:hAnsi="仿宋" w:cs="仿宋"/>
                <w:color w:val="000000"/>
                <w:sz w:val="24"/>
                <w:szCs w:val="24"/>
              </w:rPr>
            </w:pPr>
            <w:r w:rsidRPr="001715EA">
              <w:rPr>
                <w:rFonts w:ascii="仿宋" w:eastAsia="仿宋" w:hAnsi="仿宋" w:cs="仿宋" w:hint="eastAsia"/>
                <w:color w:val="000000"/>
                <w:sz w:val="24"/>
                <w:szCs w:val="24"/>
              </w:rPr>
              <w:t>期末考试</w:t>
            </w:r>
          </w:p>
        </w:tc>
        <w:tc>
          <w:tcPr>
            <w:tcW w:w="1920" w:type="dxa"/>
            <w:tcBorders>
              <w:top w:val="single" w:sz="8" w:space="0" w:color="4F81BD"/>
              <w:left w:val="dotted" w:sz="4" w:space="0" w:color="auto"/>
              <w:bottom w:val="single" w:sz="8" w:space="0" w:color="4F81BD"/>
              <w:right w:val="dotted" w:sz="4" w:space="0" w:color="auto"/>
            </w:tcBorders>
            <w:shd w:val="clear" w:color="auto" w:fill="FFFFFF"/>
            <w:vAlign w:val="center"/>
          </w:tcPr>
          <w:p w14:paraId="74759244"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对课程内容掌握较差，卷面成绩低于60分者</w:t>
            </w:r>
          </w:p>
        </w:tc>
        <w:tc>
          <w:tcPr>
            <w:tcW w:w="2140" w:type="dxa"/>
            <w:tcBorders>
              <w:top w:val="single" w:sz="8" w:space="0" w:color="4F81BD"/>
              <w:left w:val="dotted" w:sz="4" w:space="0" w:color="auto"/>
              <w:bottom w:val="single" w:sz="8" w:space="0" w:color="4F81BD"/>
              <w:right w:val="dotted" w:sz="4" w:space="0" w:color="auto"/>
            </w:tcBorders>
            <w:shd w:val="clear" w:color="auto" w:fill="FFFFFF"/>
            <w:vAlign w:val="center"/>
          </w:tcPr>
          <w:p w14:paraId="5D793E20"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对课程内容掌握一般，卷面成绩介于60-75分者</w:t>
            </w:r>
          </w:p>
        </w:tc>
        <w:tc>
          <w:tcPr>
            <w:tcW w:w="1980" w:type="dxa"/>
            <w:tcBorders>
              <w:top w:val="single" w:sz="8" w:space="0" w:color="4F81BD"/>
              <w:left w:val="dotted" w:sz="4" w:space="0" w:color="auto"/>
              <w:bottom w:val="single" w:sz="8" w:space="0" w:color="4F81BD"/>
              <w:right w:val="dotted" w:sz="4" w:space="0" w:color="auto"/>
            </w:tcBorders>
            <w:shd w:val="clear" w:color="auto" w:fill="FFFFFF"/>
            <w:vAlign w:val="center"/>
          </w:tcPr>
          <w:p w14:paraId="0F51428C"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对课程内容掌握较好，卷面成绩介于75-90分者</w:t>
            </w:r>
          </w:p>
        </w:tc>
        <w:tc>
          <w:tcPr>
            <w:tcW w:w="2125" w:type="dxa"/>
            <w:tcBorders>
              <w:top w:val="single" w:sz="8" w:space="0" w:color="4F81BD"/>
              <w:left w:val="dotted" w:sz="4" w:space="0" w:color="auto"/>
              <w:bottom w:val="single" w:sz="8" w:space="0" w:color="4F81BD"/>
              <w:right w:val="single" w:sz="8" w:space="0" w:color="4F81BD"/>
            </w:tcBorders>
            <w:shd w:val="clear" w:color="auto" w:fill="FFFFFF"/>
            <w:vAlign w:val="center"/>
          </w:tcPr>
          <w:p w14:paraId="3B729E12" w14:textId="77777777" w:rsidR="00530881" w:rsidRPr="001715EA" w:rsidRDefault="00530881" w:rsidP="003D1DCB">
            <w:pPr>
              <w:rPr>
                <w:rFonts w:ascii="仿宋" w:eastAsia="仿宋" w:hAnsi="仿宋" w:cs="仿宋"/>
                <w:color w:val="000000"/>
                <w:sz w:val="24"/>
                <w:szCs w:val="24"/>
              </w:rPr>
            </w:pPr>
            <w:r w:rsidRPr="001715EA">
              <w:rPr>
                <w:rFonts w:ascii="仿宋" w:eastAsia="仿宋" w:hAnsi="仿宋" w:cs="仿宋" w:hint="eastAsia"/>
                <w:color w:val="000000"/>
                <w:sz w:val="24"/>
                <w:szCs w:val="24"/>
              </w:rPr>
              <w:t>对课程内容掌握很好，卷面成绩介于90-100分者</w:t>
            </w:r>
          </w:p>
        </w:tc>
      </w:tr>
      <w:bookmarkEnd w:id="8"/>
    </w:tbl>
    <w:p w14:paraId="6B9D8B60" w14:textId="77777777" w:rsidR="00530881" w:rsidRDefault="00530881" w:rsidP="00530881">
      <w:pPr>
        <w:adjustRightInd w:val="0"/>
        <w:snapToGrid w:val="0"/>
        <w:spacing w:line="300" w:lineRule="auto"/>
        <w:rPr>
          <w:rFonts w:ascii="仿宋" w:eastAsia="仿宋" w:hAnsi="仿宋" w:cs="仿宋"/>
          <w:b/>
          <w:bCs/>
          <w:sz w:val="28"/>
          <w:szCs w:val="28"/>
        </w:rPr>
      </w:pPr>
    </w:p>
    <w:p w14:paraId="15F8C981" w14:textId="77777777" w:rsidR="00530881" w:rsidRDefault="00530881" w:rsidP="00530881">
      <w:pPr>
        <w:adjustRightInd w:val="0"/>
        <w:snapToGrid w:val="0"/>
        <w:spacing w:line="300" w:lineRule="auto"/>
        <w:outlineLvl w:val="2"/>
        <w:rPr>
          <w:rFonts w:ascii="仿宋" w:eastAsia="仿宋" w:hAnsi="仿宋" w:cs="仿宋"/>
          <w:b/>
          <w:bCs/>
          <w:sz w:val="28"/>
          <w:szCs w:val="28"/>
        </w:rPr>
      </w:pPr>
      <w:r>
        <w:rPr>
          <w:rFonts w:ascii="仿宋" w:eastAsia="仿宋" w:hAnsi="仿宋" w:cs="仿宋"/>
          <w:b/>
          <w:bCs/>
          <w:sz w:val="28"/>
          <w:szCs w:val="28"/>
        </w:rPr>
        <w:br w:type="page"/>
      </w:r>
      <w:bookmarkStart w:id="18" w:name="_Toc90635204"/>
      <w:r>
        <w:rPr>
          <w:rFonts w:ascii="仿宋" w:eastAsia="仿宋" w:hAnsi="仿宋" w:cs="仿宋" w:hint="eastAsia"/>
          <w:b/>
          <w:bCs/>
          <w:sz w:val="28"/>
          <w:szCs w:val="28"/>
        </w:rPr>
        <w:lastRenderedPageBreak/>
        <w:t>4.5.2 线上机考简况</w:t>
      </w:r>
      <w:bookmarkEnd w:id="18"/>
    </w:p>
    <w:p w14:paraId="0457156F" w14:textId="77777777" w:rsidR="00530881" w:rsidRDefault="00530881" w:rsidP="00530881">
      <w:pPr>
        <w:widowControl w:val="0"/>
        <w:numPr>
          <w:ilvl w:val="0"/>
          <w:numId w:val="2"/>
        </w:numPr>
        <w:adjustRightInd w:val="0"/>
        <w:snapToGrid w:val="0"/>
        <w:spacing w:line="300" w:lineRule="auto"/>
        <w:ind w:left="0" w:firstLine="0"/>
        <w:jc w:val="both"/>
        <w:rPr>
          <w:rFonts w:ascii="仿宋" w:eastAsia="仿宋" w:hAnsi="仿宋" w:cs="仿宋"/>
          <w:sz w:val="28"/>
          <w:szCs w:val="28"/>
        </w:rPr>
      </w:pPr>
      <w:r>
        <w:rPr>
          <w:rFonts w:ascii="仿宋" w:eastAsia="仿宋" w:hAnsi="仿宋" w:cs="仿宋" w:hint="eastAsia"/>
          <w:sz w:val="28"/>
          <w:szCs w:val="28"/>
        </w:rPr>
        <w:t>智夫子线上机考（2016级）</w:t>
      </w:r>
    </w:p>
    <w:p w14:paraId="1BDE0650" w14:textId="0F2E3981" w:rsidR="00530881" w:rsidRDefault="00530881" w:rsidP="00530881">
      <w:pPr>
        <w:widowControl w:val="0"/>
        <w:adjustRightInd w:val="0"/>
        <w:snapToGrid w:val="0"/>
        <w:spacing w:line="300" w:lineRule="auto"/>
        <w:ind w:left="480"/>
        <w:jc w:val="center"/>
        <w:rPr>
          <w:rFonts w:ascii="仿宋" w:eastAsia="仿宋" w:hAnsi="仿宋" w:cs="仿宋"/>
        </w:rPr>
      </w:pPr>
      <w:r>
        <w:rPr>
          <w:rFonts w:ascii="仿宋" w:eastAsia="仿宋" w:hAnsi="仿宋" w:cs="仿宋" w:hint="eastAsia"/>
          <w:noProof/>
        </w:rPr>
        <w:drawing>
          <wp:inline distT="0" distB="0" distL="0" distR="0" wp14:anchorId="4EBAC172" wp14:editId="0323CAF8">
            <wp:extent cx="4451985" cy="3681730"/>
            <wp:effectExtent l="0" t="0" r="571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pic:cNvPicPr>
                      <a:picLocks noChangeAspect="1" noChangeArrowheads="1"/>
                    </pic:cNvPicPr>
                  </pic:nvPicPr>
                  <pic:blipFill>
                    <a:blip r:embed="rId23" cstate="print">
                      <a:extLst>
                        <a:ext uri="{28A0092B-C50C-407E-A947-70E740481C1C}">
                          <a14:useLocalDpi xmlns:a14="http://schemas.microsoft.com/office/drawing/2010/main" val="0"/>
                        </a:ext>
                      </a:extLst>
                    </a:blip>
                    <a:srcRect r="47722" b="40201"/>
                    <a:stretch>
                      <a:fillRect/>
                    </a:stretch>
                  </pic:blipFill>
                  <pic:spPr bwMode="auto">
                    <a:xfrm>
                      <a:off x="0" y="0"/>
                      <a:ext cx="4451985" cy="3681730"/>
                    </a:xfrm>
                    <a:prstGeom prst="rect">
                      <a:avLst/>
                    </a:prstGeom>
                    <a:noFill/>
                    <a:ln>
                      <a:noFill/>
                    </a:ln>
                  </pic:spPr>
                </pic:pic>
              </a:graphicData>
            </a:graphic>
          </wp:inline>
        </w:drawing>
      </w:r>
    </w:p>
    <w:p w14:paraId="2FA4ED60" w14:textId="5D08F981" w:rsidR="00530881" w:rsidRDefault="00530881" w:rsidP="00530881">
      <w:pPr>
        <w:pStyle w:val="a3"/>
        <w:widowControl w:val="0"/>
        <w:ind w:firstLine="0"/>
        <w:jc w:val="center"/>
        <w:rPr>
          <w:rFonts w:ascii="仿宋" w:eastAsia="仿宋" w:hAnsi="仿宋" w:cs="仿宋"/>
        </w:rPr>
      </w:pPr>
      <w:r>
        <w:rPr>
          <w:rFonts w:ascii="仿宋" w:eastAsia="仿宋" w:hAnsi="仿宋" w:cs="仿宋" w:hint="eastAsia"/>
          <w:noProof/>
        </w:rPr>
        <w:drawing>
          <wp:inline distT="0" distB="0" distL="0" distR="0" wp14:anchorId="6D9C0FB3" wp14:editId="6888A403">
            <wp:extent cx="5274310" cy="3846195"/>
            <wp:effectExtent l="0" t="0" r="254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pic:cNvPicPr>
                      <a:picLocks noChangeAspect="1" noChangeArrowheads="1"/>
                    </pic:cNvPicPr>
                  </pic:nvPicPr>
                  <pic:blipFill>
                    <a:blip r:embed="rId24">
                      <a:extLst>
                        <a:ext uri="{28A0092B-C50C-407E-A947-70E740481C1C}">
                          <a14:useLocalDpi xmlns:a14="http://schemas.microsoft.com/office/drawing/2010/main" val="0"/>
                        </a:ext>
                      </a:extLst>
                    </a:blip>
                    <a:srcRect t="59966" r="47722"/>
                    <a:stretch>
                      <a:fillRect/>
                    </a:stretch>
                  </pic:blipFill>
                  <pic:spPr bwMode="auto">
                    <a:xfrm>
                      <a:off x="0" y="0"/>
                      <a:ext cx="5274310" cy="3846195"/>
                    </a:xfrm>
                    <a:prstGeom prst="rect">
                      <a:avLst/>
                    </a:prstGeom>
                    <a:noFill/>
                    <a:ln>
                      <a:noFill/>
                    </a:ln>
                  </pic:spPr>
                </pic:pic>
              </a:graphicData>
            </a:graphic>
          </wp:inline>
        </w:drawing>
      </w:r>
    </w:p>
    <w:p w14:paraId="65334C32" w14:textId="77777777" w:rsidR="00530881" w:rsidRDefault="00530881" w:rsidP="00530881"/>
    <w:p w14:paraId="7BFF0F93" w14:textId="77777777" w:rsidR="00530881" w:rsidRDefault="00530881" w:rsidP="00530881">
      <w:pPr>
        <w:widowControl w:val="0"/>
        <w:numPr>
          <w:ilvl w:val="0"/>
          <w:numId w:val="2"/>
        </w:numPr>
        <w:adjustRightInd w:val="0"/>
        <w:snapToGrid w:val="0"/>
        <w:spacing w:line="300" w:lineRule="auto"/>
        <w:ind w:left="0" w:firstLine="0"/>
        <w:jc w:val="both"/>
        <w:rPr>
          <w:rFonts w:ascii="仿宋" w:eastAsia="仿宋" w:hAnsi="仿宋" w:cs="仿宋"/>
          <w:sz w:val="28"/>
          <w:szCs w:val="28"/>
        </w:rPr>
      </w:pPr>
      <w:r>
        <w:rPr>
          <w:rFonts w:ascii="仿宋" w:eastAsia="仿宋" w:hAnsi="仿宋" w:cs="仿宋" w:hint="eastAsia"/>
          <w:sz w:val="28"/>
          <w:szCs w:val="28"/>
        </w:rPr>
        <w:t>问卷星线上考试（2017级）</w:t>
      </w:r>
    </w:p>
    <w:p w14:paraId="03056C72" w14:textId="19E507A9" w:rsidR="00530881" w:rsidRDefault="00530881" w:rsidP="00530881">
      <w:pPr>
        <w:pStyle w:val="a3"/>
        <w:widowControl w:val="0"/>
        <w:jc w:val="center"/>
        <w:rPr>
          <w:rFonts w:ascii="仿宋" w:eastAsia="仿宋" w:hAnsi="仿宋" w:cs="仿宋"/>
        </w:rPr>
      </w:pPr>
      <w:r>
        <w:rPr>
          <w:rFonts w:ascii="仿宋" w:eastAsia="仿宋" w:hAnsi="仿宋" w:cs="仿宋" w:hint="eastAsia"/>
          <w:noProof/>
        </w:rPr>
        <w:lastRenderedPageBreak/>
        <w:drawing>
          <wp:inline distT="0" distB="0" distL="0" distR="0" wp14:anchorId="17132557" wp14:editId="12D1E904">
            <wp:extent cx="4187190" cy="4403725"/>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pic:cNvPicPr>
                      <a:picLocks noChangeAspect="1" noChangeArrowheads="1"/>
                    </pic:cNvPicPr>
                  </pic:nvPicPr>
                  <pic:blipFill>
                    <a:blip r:embed="rId25" cstate="print">
                      <a:extLst>
                        <a:ext uri="{28A0092B-C50C-407E-A947-70E740481C1C}">
                          <a14:useLocalDpi xmlns:a14="http://schemas.microsoft.com/office/drawing/2010/main" val="0"/>
                        </a:ext>
                      </a:extLst>
                    </a:blip>
                    <a:srcRect l="52827"/>
                    <a:stretch>
                      <a:fillRect/>
                    </a:stretch>
                  </pic:blipFill>
                  <pic:spPr bwMode="auto">
                    <a:xfrm>
                      <a:off x="0" y="0"/>
                      <a:ext cx="4187190" cy="4403725"/>
                    </a:xfrm>
                    <a:prstGeom prst="rect">
                      <a:avLst/>
                    </a:prstGeom>
                    <a:noFill/>
                    <a:ln>
                      <a:noFill/>
                    </a:ln>
                    <a:effectLst/>
                  </pic:spPr>
                </pic:pic>
              </a:graphicData>
            </a:graphic>
          </wp:inline>
        </w:drawing>
      </w:r>
    </w:p>
    <w:p w14:paraId="021E1694" w14:textId="77777777" w:rsidR="00530881" w:rsidRDefault="00530881" w:rsidP="00530881">
      <w:pPr>
        <w:widowControl w:val="0"/>
        <w:numPr>
          <w:ilvl w:val="0"/>
          <w:numId w:val="2"/>
        </w:numPr>
        <w:adjustRightInd w:val="0"/>
        <w:snapToGrid w:val="0"/>
        <w:spacing w:line="300" w:lineRule="auto"/>
        <w:ind w:left="0" w:firstLine="0"/>
        <w:jc w:val="both"/>
        <w:rPr>
          <w:rFonts w:ascii="仿宋" w:eastAsia="仿宋" w:hAnsi="仿宋" w:cs="仿宋"/>
          <w:sz w:val="28"/>
          <w:szCs w:val="28"/>
        </w:rPr>
      </w:pPr>
      <w:r>
        <w:rPr>
          <w:rFonts w:ascii="仿宋" w:eastAsia="仿宋" w:hAnsi="仿宋" w:cs="仿宋" w:hint="eastAsia"/>
          <w:sz w:val="28"/>
          <w:szCs w:val="28"/>
        </w:rPr>
        <w:t>超星学习通线上考试（2018级）</w:t>
      </w:r>
    </w:p>
    <w:p w14:paraId="5754D1FB" w14:textId="77777777" w:rsidR="00530881" w:rsidRDefault="00530881" w:rsidP="00530881"/>
    <w:p w14:paraId="6C086D15" w14:textId="193E6D23" w:rsidR="00530881" w:rsidRDefault="00530881" w:rsidP="00530881">
      <w:pPr>
        <w:jc w:val="center"/>
      </w:pPr>
      <w:r>
        <w:rPr>
          <w:noProof/>
        </w:rPr>
        <w:drawing>
          <wp:inline distT="0" distB="0" distL="0" distR="0" wp14:anchorId="548C2FE1" wp14:editId="48F5D021">
            <wp:extent cx="5005070" cy="3489325"/>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05070" cy="3489325"/>
                    </a:xfrm>
                    <a:prstGeom prst="rect">
                      <a:avLst/>
                    </a:prstGeom>
                    <a:noFill/>
                    <a:ln>
                      <a:noFill/>
                    </a:ln>
                    <a:effectLst/>
                  </pic:spPr>
                </pic:pic>
              </a:graphicData>
            </a:graphic>
          </wp:inline>
        </w:drawing>
      </w:r>
    </w:p>
    <w:p w14:paraId="1A4DAE33" w14:textId="77777777" w:rsidR="00530881" w:rsidRDefault="00530881" w:rsidP="00530881">
      <w:pPr>
        <w:adjustRightInd w:val="0"/>
        <w:snapToGrid w:val="0"/>
        <w:spacing w:line="300" w:lineRule="auto"/>
        <w:outlineLvl w:val="2"/>
        <w:rPr>
          <w:rFonts w:ascii="仿宋" w:eastAsia="仿宋" w:hAnsi="仿宋" w:cs="仿宋"/>
          <w:b/>
          <w:bCs/>
          <w:sz w:val="28"/>
          <w:szCs w:val="28"/>
        </w:rPr>
      </w:pPr>
      <w:bookmarkStart w:id="19" w:name="_Toc90635205"/>
      <w:r>
        <w:rPr>
          <w:rFonts w:ascii="仿宋" w:eastAsia="仿宋" w:hAnsi="仿宋" w:cs="仿宋" w:hint="eastAsia"/>
          <w:b/>
          <w:bCs/>
          <w:sz w:val="28"/>
          <w:szCs w:val="28"/>
        </w:rPr>
        <w:t>4.5.3 在线教学案例：“牢牢把握课前课内课后三步曲”</w:t>
      </w:r>
      <w:bookmarkEnd w:id="19"/>
    </w:p>
    <w:p w14:paraId="31209FD6" w14:textId="281E0441" w:rsidR="00530881" w:rsidRDefault="00530881" w:rsidP="00530881">
      <w:pPr>
        <w:adjustRightInd w:val="0"/>
        <w:snapToGrid w:val="0"/>
        <w:spacing w:line="300" w:lineRule="auto"/>
        <w:jc w:val="center"/>
        <w:rPr>
          <w:rFonts w:ascii="仿宋" w:eastAsia="仿宋" w:hAnsi="仿宋" w:cs="仿宋"/>
          <w:b/>
          <w:bCs/>
          <w:sz w:val="28"/>
          <w:szCs w:val="28"/>
        </w:rPr>
      </w:pPr>
      <w:r>
        <w:rPr>
          <w:noProof/>
        </w:rPr>
        <w:lastRenderedPageBreak/>
        <w:drawing>
          <wp:inline distT="0" distB="0" distL="0" distR="0" wp14:anchorId="2115AA33" wp14:editId="4B30BF0C">
            <wp:extent cx="1925320" cy="35375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25320" cy="3537585"/>
                    </a:xfrm>
                    <a:prstGeom prst="rect">
                      <a:avLst/>
                    </a:prstGeom>
                    <a:noFill/>
                    <a:ln>
                      <a:noFill/>
                    </a:ln>
                    <a:effectLst/>
                  </pic:spPr>
                </pic:pic>
              </a:graphicData>
            </a:graphic>
          </wp:inline>
        </w:drawing>
      </w:r>
      <w:r>
        <w:rPr>
          <w:noProof/>
        </w:rPr>
        <w:drawing>
          <wp:inline distT="0" distB="0" distL="0" distR="0" wp14:anchorId="572F29BD" wp14:editId="337CFB34">
            <wp:extent cx="1804670" cy="3681730"/>
            <wp:effectExtent l="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4670" cy="3681730"/>
                    </a:xfrm>
                    <a:prstGeom prst="rect">
                      <a:avLst/>
                    </a:prstGeom>
                    <a:noFill/>
                    <a:ln>
                      <a:noFill/>
                    </a:ln>
                  </pic:spPr>
                </pic:pic>
              </a:graphicData>
            </a:graphic>
          </wp:inline>
        </w:drawing>
      </w:r>
      <w:r>
        <w:rPr>
          <w:noProof/>
        </w:rPr>
        <w:drawing>
          <wp:inline distT="0" distB="0" distL="0" distR="0" wp14:anchorId="47610EE0" wp14:editId="0923997A">
            <wp:extent cx="1877060" cy="3705860"/>
            <wp:effectExtent l="0" t="0" r="889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7060" cy="3705860"/>
                    </a:xfrm>
                    <a:prstGeom prst="rect">
                      <a:avLst/>
                    </a:prstGeom>
                    <a:noFill/>
                    <a:ln>
                      <a:noFill/>
                    </a:ln>
                    <a:effectLst/>
                  </pic:spPr>
                </pic:pic>
              </a:graphicData>
            </a:graphic>
          </wp:inline>
        </w:drawing>
      </w:r>
      <w:r>
        <w:rPr>
          <w:noProof/>
        </w:rPr>
        <w:drawing>
          <wp:inline distT="0" distB="0" distL="0" distR="0" wp14:anchorId="718491B2" wp14:editId="4209825F">
            <wp:extent cx="1852930" cy="372999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52930" cy="3729990"/>
                    </a:xfrm>
                    <a:prstGeom prst="rect">
                      <a:avLst/>
                    </a:prstGeom>
                    <a:noFill/>
                    <a:ln>
                      <a:noFill/>
                    </a:ln>
                    <a:effectLst/>
                  </pic:spPr>
                </pic:pic>
              </a:graphicData>
            </a:graphic>
          </wp:inline>
        </w:drawing>
      </w:r>
      <w:r>
        <w:rPr>
          <w:noProof/>
        </w:rPr>
        <w:lastRenderedPageBreak/>
        <w:drawing>
          <wp:inline distT="0" distB="0" distL="0" distR="0" wp14:anchorId="05D65034" wp14:editId="6DF65A49">
            <wp:extent cx="1852930" cy="3898265"/>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52930" cy="3898265"/>
                    </a:xfrm>
                    <a:prstGeom prst="rect">
                      <a:avLst/>
                    </a:prstGeom>
                    <a:noFill/>
                    <a:ln>
                      <a:noFill/>
                    </a:ln>
                    <a:effectLst/>
                  </pic:spPr>
                </pic:pic>
              </a:graphicData>
            </a:graphic>
          </wp:inline>
        </w:drawing>
      </w:r>
      <w:r>
        <w:rPr>
          <w:rFonts w:ascii="仿宋" w:eastAsia="仿宋" w:hAnsi="仿宋" w:cs="仿宋"/>
          <w:b/>
          <w:bCs/>
          <w:noProof/>
          <w:sz w:val="28"/>
          <w:szCs w:val="28"/>
        </w:rPr>
        <w:drawing>
          <wp:inline distT="0" distB="0" distL="0" distR="0" wp14:anchorId="09CF9C28" wp14:editId="78555B2F">
            <wp:extent cx="1828800" cy="3705860"/>
            <wp:effectExtent l="0" t="0" r="0" b="8890"/>
            <wp:docPr id="10" name="图片 10" descr="微信图片_2021121706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1" descr="微信图片_20211217062204"/>
                    <pic:cNvPicPr>
                      <a:picLocks noChangeAspect="1" noChangeArrowheads="1"/>
                    </pic:cNvPicPr>
                  </pic:nvPicPr>
                  <pic:blipFill>
                    <a:blip r:embed="rId32" cstate="print">
                      <a:extLst>
                        <a:ext uri="{28A0092B-C50C-407E-A947-70E740481C1C}">
                          <a14:useLocalDpi xmlns:a14="http://schemas.microsoft.com/office/drawing/2010/main" val="0"/>
                        </a:ext>
                      </a:extLst>
                    </a:blip>
                    <a:srcRect t="5281"/>
                    <a:stretch>
                      <a:fillRect/>
                    </a:stretch>
                  </pic:blipFill>
                  <pic:spPr bwMode="auto">
                    <a:xfrm>
                      <a:off x="0" y="0"/>
                      <a:ext cx="1828800" cy="3705860"/>
                    </a:xfrm>
                    <a:prstGeom prst="rect">
                      <a:avLst/>
                    </a:prstGeom>
                    <a:noFill/>
                    <a:ln>
                      <a:noFill/>
                    </a:ln>
                    <a:effectLst/>
                  </pic:spPr>
                </pic:pic>
              </a:graphicData>
            </a:graphic>
          </wp:inline>
        </w:drawing>
      </w:r>
    </w:p>
    <w:p w14:paraId="048E6413" w14:textId="524E4E4D" w:rsidR="00530881" w:rsidRDefault="00530881" w:rsidP="00530881">
      <w:pPr>
        <w:pStyle w:val="2"/>
        <w:tabs>
          <w:tab w:val="left" w:pos="0"/>
        </w:tabs>
        <w:spacing w:before="0" w:after="0" w:line="415" w:lineRule="auto"/>
        <w:rPr>
          <w:rFonts w:ascii="仿宋" w:eastAsia="仿宋" w:hAnsi="仿宋" w:cs="仿宋"/>
        </w:rPr>
      </w:pPr>
      <w:r>
        <w:rPr>
          <w:rFonts w:ascii="仿宋" w:eastAsia="仿宋" w:hAnsi="仿宋" w:cs="仿宋" w:hint="eastAsia"/>
          <w:sz w:val="28"/>
          <w:szCs w:val="28"/>
        </w:rPr>
        <w:br w:type="page"/>
      </w:r>
    </w:p>
    <w:p w14:paraId="49D59150" w14:textId="77777777" w:rsidR="003B5073" w:rsidRDefault="003B5073"/>
    <w:sectPr w:rsidR="003B50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3E9E4" w14:textId="77777777" w:rsidR="000B20AF" w:rsidRDefault="000B20AF" w:rsidP="009025F1">
      <w:r>
        <w:separator/>
      </w:r>
    </w:p>
  </w:endnote>
  <w:endnote w:type="continuationSeparator" w:id="0">
    <w:p w14:paraId="05463A3B" w14:textId="77777777" w:rsidR="000B20AF" w:rsidRDefault="000B20AF" w:rsidP="009025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8D21C4" w14:textId="77777777" w:rsidR="000B20AF" w:rsidRDefault="000B20AF" w:rsidP="009025F1">
      <w:r>
        <w:separator/>
      </w:r>
    </w:p>
  </w:footnote>
  <w:footnote w:type="continuationSeparator" w:id="0">
    <w:p w14:paraId="1CB3E4EE" w14:textId="77777777" w:rsidR="000B20AF" w:rsidRDefault="000B20AF" w:rsidP="009025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CB53A02"/>
    <w:multiLevelType w:val="singleLevel"/>
    <w:tmpl w:val="BCB53A02"/>
    <w:lvl w:ilvl="0">
      <w:start w:val="1"/>
      <w:numFmt w:val="decimal"/>
      <w:lvlText w:val="%1."/>
      <w:lvlJc w:val="left"/>
      <w:pPr>
        <w:tabs>
          <w:tab w:val="num" w:pos="312"/>
        </w:tabs>
      </w:pPr>
    </w:lvl>
  </w:abstractNum>
  <w:abstractNum w:abstractNumId="1" w15:restartNumberingAfterBreak="0">
    <w:nsid w:val="15156FD4"/>
    <w:multiLevelType w:val="multilevel"/>
    <w:tmpl w:val="15156FD4"/>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 w15:restartNumberingAfterBreak="0">
    <w:nsid w:val="1BF12EFD"/>
    <w:multiLevelType w:val="multilevel"/>
    <w:tmpl w:val="3351571E"/>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 w15:restartNumberingAfterBreak="0">
    <w:nsid w:val="3351571E"/>
    <w:multiLevelType w:val="multilevel"/>
    <w:tmpl w:val="3351571E"/>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4" w15:restartNumberingAfterBreak="0">
    <w:nsid w:val="399C45AF"/>
    <w:multiLevelType w:val="multilevel"/>
    <w:tmpl w:val="15156FD4"/>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5" w15:restartNumberingAfterBreak="0">
    <w:nsid w:val="433A4AF1"/>
    <w:multiLevelType w:val="multilevel"/>
    <w:tmpl w:val="15156FD4"/>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6" w15:restartNumberingAfterBreak="0">
    <w:nsid w:val="507C6B4A"/>
    <w:multiLevelType w:val="multilevel"/>
    <w:tmpl w:val="507C6B4A"/>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7" w15:restartNumberingAfterBreak="0">
    <w:nsid w:val="576B65E9"/>
    <w:multiLevelType w:val="multilevel"/>
    <w:tmpl w:val="3351571E"/>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8" w15:restartNumberingAfterBreak="0">
    <w:nsid w:val="5EEF373E"/>
    <w:multiLevelType w:val="multilevel"/>
    <w:tmpl w:val="5EEF373E"/>
    <w:lvl w:ilvl="0">
      <w:start w:val="1"/>
      <w:numFmt w:val="decimal"/>
      <w:lvlText w:val="（%1）"/>
      <w:lvlJc w:val="left"/>
      <w:pPr>
        <w:ind w:left="1200" w:hanging="720"/>
      </w:pPr>
      <w:rPr>
        <w:rFonts w:hint="default"/>
        <w:b w:val="0"/>
        <w:bCs w:val="0"/>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9" w15:restartNumberingAfterBreak="0">
    <w:nsid w:val="5F504D46"/>
    <w:multiLevelType w:val="multilevel"/>
    <w:tmpl w:val="3351571E"/>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0" w15:restartNumberingAfterBreak="0">
    <w:nsid w:val="7F134C07"/>
    <w:multiLevelType w:val="multilevel"/>
    <w:tmpl w:val="15156FD4"/>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8"/>
  </w:num>
  <w:num w:numId="3">
    <w:abstractNumId w:val="1"/>
  </w:num>
  <w:num w:numId="4">
    <w:abstractNumId w:val="6"/>
  </w:num>
  <w:num w:numId="5">
    <w:abstractNumId w:val="3"/>
  </w:num>
  <w:num w:numId="6">
    <w:abstractNumId w:val="10"/>
  </w:num>
  <w:num w:numId="7">
    <w:abstractNumId w:val="5"/>
  </w:num>
  <w:num w:numId="8">
    <w:abstractNumId w:val="4"/>
  </w:num>
  <w:num w:numId="9">
    <w:abstractNumId w:val="7"/>
  </w:num>
  <w:num w:numId="10">
    <w:abstractNumId w:val="9"/>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94C"/>
    <w:rsid w:val="000B20AF"/>
    <w:rsid w:val="0034794C"/>
    <w:rsid w:val="003B5073"/>
    <w:rsid w:val="00530881"/>
    <w:rsid w:val="00902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chartTrackingRefBased/>
  <w15:docId w15:val="{4B57BD42-EAD7-4025-AFA0-5226A712C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30881"/>
    <w:rPr>
      <w:rFonts w:ascii="Times New Roman" w:eastAsia="宋体" w:hAnsi="Times New Roman" w:cs="Times New Roman"/>
      <w:kern w:val="0"/>
      <w:sz w:val="20"/>
      <w:szCs w:val="20"/>
    </w:rPr>
  </w:style>
  <w:style w:type="paragraph" w:styleId="2">
    <w:name w:val="heading 2"/>
    <w:basedOn w:val="a"/>
    <w:next w:val="a"/>
    <w:link w:val="20"/>
    <w:uiPriority w:val="9"/>
    <w:qFormat/>
    <w:rsid w:val="00530881"/>
    <w:pPr>
      <w:keepNext/>
      <w:keepLines/>
      <w:spacing w:before="260" w:after="260" w:line="416" w:lineRule="auto"/>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530881"/>
    <w:rPr>
      <w:rFonts w:ascii="Arial" w:eastAsia="黑体" w:hAnsi="Arial" w:cs="Times New Roman"/>
      <w:b/>
      <w:bCs/>
      <w:kern w:val="0"/>
      <w:sz w:val="32"/>
      <w:szCs w:val="32"/>
    </w:rPr>
  </w:style>
  <w:style w:type="paragraph" w:customStyle="1" w:styleId="a3">
    <w:name w:val="标准"/>
    <w:next w:val="a"/>
    <w:qFormat/>
    <w:rsid w:val="00530881"/>
    <w:pPr>
      <w:adjustRightInd w:val="0"/>
      <w:snapToGrid w:val="0"/>
      <w:spacing w:line="300" w:lineRule="auto"/>
      <w:ind w:firstLine="482"/>
    </w:pPr>
    <w:rPr>
      <w:rFonts w:ascii="Times New Roman" w:eastAsia="宋体" w:hAnsi="Times New Roman" w:cs="微软雅黑"/>
      <w:sz w:val="24"/>
      <w:szCs w:val="24"/>
    </w:rPr>
  </w:style>
  <w:style w:type="paragraph" w:styleId="a4">
    <w:name w:val="header"/>
    <w:basedOn w:val="a"/>
    <w:link w:val="a5"/>
    <w:uiPriority w:val="99"/>
    <w:unhideWhenUsed/>
    <w:rsid w:val="009025F1"/>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9025F1"/>
    <w:rPr>
      <w:rFonts w:ascii="Times New Roman" w:eastAsia="宋体" w:hAnsi="Times New Roman" w:cs="Times New Roman"/>
      <w:kern w:val="0"/>
      <w:sz w:val="18"/>
      <w:szCs w:val="18"/>
    </w:rPr>
  </w:style>
  <w:style w:type="paragraph" w:styleId="a6">
    <w:name w:val="footer"/>
    <w:basedOn w:val="a"/>
    <w:link w:val="a7"/>
    <w:uiPriority w:val="99"/>
    <w:unhideWhenUsed/>
    <w:rsid w:val="009025F1"/>
    <w:pPr>
      <w:tabs>
        <w:tab w:val="center" w:pos="4153"/>
        <w:tab w:val="right" w:pos="8306"/>
      </w:tabs>
      <w:snapToGrid w:val="0"/>
    </w:pPr>
    <w:rPr>
      <w:sz w:val="18"/>
      <w:szCs w:val="18"/>
    </w:rPr>
  </w:style>
  <w:style w:type="character" w:customStyle="1" w:styleId="a7">
    <w:name w:val="页脚 字符"/>
    <w:basedOn w:val="a0"/>
    <w:link w:val="a6"/>
    <w:uiPriority w:val="99"/>
    <w:rsid w:val="009025F1"/>
    <w:rPr>
      <w:rFonts w:ascii="Times New Roman" w:eastAsia="宋体" w:hAnsi="Times New Roman" w:cs="Times New Roman"/>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20</Pages>
  <Words>693</Words>
  <Characters>3952</Characters>
  <Application>Microsoft Office Word</Application>
  <DocSecurity>0</DocSecurity>
  <Lines>32</Lines>
  <Paragraphs>9</Paragraphs>
  <ScaleCrop>false</ScaleCrop>
  <Company/>
  <LinksUpToDate>false</LinksUpToDate>
  <CharactersWithSpaces>4636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xiangqi</dc:creator>
  <cp:keywords/>
  <dc:description/>
  <cp:lastModifiedBy>xiangqi</cp:lastModifiedBy>
  <cp:revision>3</cp:revision>
  <dcterms:created xsi:type="dcterms:W3CDTF">2021-12-20T08:56:00Z</dcterms:created>
  <dcterms:modified xsi:type="dcterms:W3CDTF">2021-12-20T08:59:00Z</dcterms:modified>
</cp:coreProperties>
</file>