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643" w:firstLineChars="200"/>
        <w:jc w:val="both"/>
        <w:rPr>
          <w:rFonts w:ascii="黑体" w:hAnsi="黑体" w:eastAsia="黑体" w:cs="Times New Roman"/>
          <w:b/>
          <w:sz w:val="32"/>
          <w:szCs w:val="32"/>
        </w:rPr>
      </w:pPr>
      <w:r>
        <w:rPr>
          <w:rFonts w:hint="eastAsia" w:ascii="黑体" w:hAnsi="黑体" w:eastAsia="黑体" w:cs="Times New Roman"/>
          <w:b/>
          <w:sz w:val="32"/>
          <w:szCs w:val="32"/>
        </w:rPr>
        <w:t>机械与储运工程学院本科生综合测评办法（试行）</w:t>
      </w:r>
    </w:p>
    <w:p>
      <w:pPr>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本科生综合测评是对本科生的德、智、体、美、</w:t>
      </w:r>
      <w:r>
        <w:rPr>
          <w:rFonts w:ascii="仿宋_GB2312" w:hAnsi="宋体" w:eastAsia="仿宋_GB2312" w:cs="Times New Roman"/>
          <w:sz w:val="24"/>
        </w:rPr>
        <w:t>劳</w:t>
      </w:r>
      <w:r>
        <w:rPr>
          <w:rFonts w:hint="eastAsia" w:ascii="仿宋_GB2312" w:hAnsi="宋体" w:eastAsia="仿宋_GB2312" w:cs="Times New Roman"/>
          <w:sz w:val="24"/>
        </w:rPr>
        <w:t>等各方面素质的综合评价，是学生思想政治教育的重要环节，旨在通过树立科学评价导向、强化过程评价，推动学生自我教育、自我管理、</w:t>
      </w:r>
      <w:bookmarkStart w:id="1" w:name="_GoBack"/>
      <w:bookmarkEnd w:id="1"/>
      <w:r>
        <w:rPr>
          <w:rFonts w:hint="eastAsia" w:ascii="仿宋_GB2312" w:hAnsi="宋体" w:eastAsia="仿宋_GB2312" w:cs="Times New Roman"/>
          <w:sz w:val="24"/>
        </w:rPr>
        <w:t>自我服务，总结阶段性成长历程，促进学生全面发展和健康成长成才，是奖学金评选、优秀本科生评选、研究生推免等工作的重要依据。为全面贯彻党的教育方针，落实立德树人根本任务，健全完善学生科学评价机制，促进学生全面发展，根据有关文件精神，结合学院实际，特修订本办法。</w:t>
      </w: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一、总　则</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本综合测评办法适用于我院在读的全日制本科生，所有材料的提交截止时间原则上为9月1日。</w:t>
      </w: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二、组织领导</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组长：学院院长</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副组长：学院党委副书记、学院本科教学副院长</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成员：各专业系主任、各年级辅导员、各班级班主任等</w:t>
      </w: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三、测评程序</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（一）由辅导员向全体学生发布《机械与储运工程学院本科生综合测评办法》；</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（二）学生综合测评每学年进行一次，以同年级同专业为测评单位，各年级学生辅导员为此项工作的直接责任人；</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（三）以班级为单位成立综合测评小组，由辅导员、班主任、学业导师、班长、团支部书记及学生代表组成，学生代表人数不少于班级学生总数的1/5，且班级综合测评工作小组总人数为基数；</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（四）每学年第二学期末，综合测评开始前，各有关部门收集、整理该学年的各项数据，记录在册，各类数据权威性、准确性以相应归口部门审核认定为准并通知学院辅导员办公室；</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（五）每年综合测评前由校团委和体育教学部列出前一学年各级各类竞赛项目；</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六）各班测评应在学院规定的时间内完成，辅导员应向班级学生公示学年综合测评结果不少于3个工作日，无异议后，报学院综合测评工作领导小组审核，学院向全体学生公示学年综合测评结果不少于5个工作日，无异议后，经学院综合测评领导小组审核报学生工作处；</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 xml:space="preserve">（七）每学年综合测评工作结束后，学院将学生综合测评的基本情况向学生工作处报备，并以专业年级为单位打印两份一览表，由学生本人签字确认、学院综合测评工作领导小组组长签字后，报学生工作处存档一份，学院留存一份； </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（八）所有附加分的材料均需班长审核并签名、辅导员审核后附在上交的综合测评材料中。</w:t>
      </w: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四、综合测评成绩组成</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综合测评成绩=德育分×15%+智育分×70%+体育分×5%+美育分×5%+劳育分×5%</w:t>
      </w: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（一）德育分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坚持四项基本原则，热爱祖国，拥护党的基本路线、方针、政策，遵守国家法律是大学生思想品德的基本条件。凡是反对四项基本原则，反对党的路线、方针、政策或有违法犯罪行为的学生，德育成绩按0分计。</w:t>
      </w:r>
    </w:p>
    <w:p>
      <w:pPr>
        <w:adjustRightInd w:val="0"/>
        <w:snapToGrid w:val="0"/>
        <w:spacing w:line="360" w:lineRule="auto"/>
        <w:ind w:firstLine="482" w:firstLineChars="200"/>
        <w:jc w:val="both"/>
        <w:rPr>
          <w:rFonts w:ascii="仿宋_GB2312" w:hAnsi="宋体" w:eastAsia="仿宋_GB2312" w:cs="Times New Roman"/>
          <w:b/>
          <w:sz w:val="24"/>
        </w:rPr>
      </w:pPr>
      <w:r>
        <w:rPr>
          <w:rFonts w:hint="eastAsia" w:ascii="仿宋_GB2312" w:hAnsi="宋体" w:eastAsia="仿宋_GB2312" w:cs="Times New Roman"/>
          <w:b/>
          <w:sz w:val="24"/>
        </w:rPr>
        <w:t>德育分(100分)=思想品德评估成绩（70分）＋德育加分（30分）-扣分项</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w:t>
      </w:r>
      <w:bookmarkStart w:id="0" w:name="_Hlk25754562"/>
      <w:r>
        <w:rPr>
          <w:rFonts w:hint="eastAsia" w:ascii="仿宋_GB2312" w:hAnsi="宋体" w:eastAsia="仿宋_GB2312" w:cs="Times New Roman"/>
          <w:sz w:val="24"/>
        </w:rPr>
        <w:t>思想品德评估成绩满分70分，共</w:t>
      </w:r>
      <w:r>
        <w:rPr>
          <w:rFonts w:ascii="仿宋_GB2312" w:hAnsi="宋体" w:eastAsia="仿宋_GB2312" w:cs="Times New Roman"/>
          <w:sz w:val="24"/>
        </w:rPr>
        <w:t>11</w:t>
      </w:r>
      <w:r>
        <w:rPr>
          <w:rFonts w:hint="eastAsia" w:ascii="仿宋_GB2312" w:hAnsi="宋体" w:eastAsia="仿宋_GB2312" w:cs="Times New Roman"/>
          <w:sz w:val="24"/>
        </w:rPr>
        <w:t>小项，</w:t>
      </w:r>
      <w:r>
        <w:rPr>
          <w:rFonts w:ascii="仿宋_GB2312" w:hAnsi="宋体" w:eastAsia="仿宋_GB2312" w:cs="Times New Roman"/>
          <w:sz w:val="24"/>
        </w:rPr>
        <w:t>由辅导员</w:t>
      </w:r>
      <w:r>
        <w:rPr>
          <w:rFonts w:hint="eastAsia" w:ascii="仿宋_GB2312" w:hAnsi="宋体" w:eastAsia="仿宋_GB2312" w:cs="Times New Roman"/>
          <w:sz w:val="24"/>
        </w:rPr>
        <w:t>、班主任、班团委员会成员、</w:t>
      </w:r>
      <w:r>
        <w:rPr>
          <w:rFonts w:ascii="仿宋_GB2312" w:hAnsi="宋体" w:eastAsia="仿宋_GB2312" w:cs="Times New Roman"/>
          <w:sz w:val="24"/>
        </w:rPr>
        <w:t>班级同学共同评定</w:t>
      </w:r>
      <w:r>
        <w:rPr>
          <w:rFonts w:hint="eastAsia" w:ascii="仿宋_GB2312" w:hAnsi="宋体" w:eastAsia="仿宋_GB2312" w:cs="Times New Roman"/>
          <w:sz w:val="24"/>
        </w:rPr>
        <w:t>。班团委员会成员包括班长、团支书、副班长。如若＜6</w:t>
      </w:r>
      <w:r>
        <w:rPr>
          <w:rFonts w:ascii="仿宋_GB2312" w:hAnsi="宋体" w:eastAsia="仿宋_GB2312" w:cs="Times New Roman"/>
          <w:sz w:val="24"/>
        </w:rPr>
        <w:t>0分</w:t>
      </w:r>
      <w:r>
        <w:rPr>
          <w:rFonts w:hint="eastAsia" w:ascii="仿宋_GB2312" w:hAnsi="宋体" w:eastAsia="仿宋_GB2312" w:cs="Times New Roman"/>
          <w:sz w:val="24"/>
        </w:rPr>
        <w:t>，则判定为品德不及格，取消</w:t>
      </w:r>
      <w:r>
        <w:rPr>
          <w:rFonts w:ascii="仿宋_GB2312" w:hAnsi="宋体" w:eastAsia="仿宋_GB2312" w:cs="Times New Roman"/>
          <w:sz w:val="24"/>
        </w:rPr>
        <w:t>其</w:t>
      </w:r>
      <w:r>
        <w:rPr>
          <w:rFonts w:hint="eastAsia" w:ascii="仿宋_GB2312" w:hAnsi="宋体" w:eastAsia="仿宋_GB2312" w:cs="Times New Roman"/>
          <w:sz w:val="24"/>
        </w:rPr>
        <w:t>当学年</w:t>
      </w:r>
      <w:r>
        <w:rPr>
          <w:rFonts w:ascii="仿宋_GB2312" w:hAnsi="宋体" w:eastAsia="仿宋_GB2312" w:cs="Times New Roman"/>
          <w:sz w:val="24"/>
        </w:rPr>
        <w:t>参评奖学金等一系列评奖评优</w:t>
      </w:r>
      <w:r>
        <w:rPr>
          <w:rFonts w:hint="eastAsia" w:ascii="仿宋_GB2312" w:hAnsi="宋体" w:eastAsia="仿宋_GB2312" w:cs="Times New Roman"/>
          <w:sz w:val="24"/>
        </w:rPr>
        <w:t>资格，思想品德不及格者毕业时会记入毕业生鉴定意见，存入学生档案。具体评分标准参考如下：</w:t>
      </w:r>
      <w:bookmarkEnd w:id="0"/>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思想品德评估成绩</w:t>
      </w:r>
      <w:r>
        <w:rPr>
          <w:rFonts w:ascii="仿宋_GB2312" w:hAnsi="宋体" w:eastAsia="仿宋_GB2312" w:cs="Times New Roman"/>
          <w:sz w:val="24"/>
        </w:rPr>
        <w:t>=</w:t>
      </w:r>
      <w:r>
        <w:rPr>
          <w:rFonts w:hint="eastAsia" w:ascii="仿宋_GB2312" w:hAnsi="宋体" w:eastAsia="仿宋_GB2312" w:cs="Times New Roman"/>
          <w:sz w:val="24"/>
        </w:rPr>
        <w:t>（辅导员评分×5</w:t>
      </w:r>
      <w:r>
        <w:rPr>
          <w:rFonts w:ascii="仿宋_GB2312" w:hAnsi="宋体" w:eastAsia="仿宋_GB2312" w:cs="Times New Roman"/>
          <w:sz w:val="24"/>
        </w:rPr>
        <w:t>0%+班团委员会评分</w:t>
      </w:r>
      <w:r>
        <w:rPr>
          <w:rFonts w:hint="eastAsia" w:ascii="仿宋_GB2312" w:hAnsi="宋体" w:eastAsia="仿宋_GB2312" w:cs="Times New Roman"/>
          <w:sz w:val="24"/>
        </w:rPr>
        <w:t>×2</w:t>
      </w:r>
      <w:r>
        <w:rPr>
          <w:rFonts w:ascii="仿宋_GB2312" w:hAnsi="宋体" w:eastAsia="仿宋_GB2312" w:cs="Times New Roman"/>
          <w:sz w:val="24"/>
        </w:rPr>
        <w:t>0%+班级学生互评</w:t>
      </w:r>
      <w:r>
        <w:rPr>
          <w:rFonts w:hint="eastAsia" w:ascii="仿宋_GB2312" w:hAnsi="宋体" w:eastAsia="仿宋_GB2312" w:cs="Times New Roman"/>
          <w:sz w:val="24"/>
        </w:rPr>
        <w:t>平均分×</w:t>
      </w:r>
      <w:r>
        <w:rPr>
          <w:rFonts w:ascii="仿宋_GB2312" w:hAnsi="宋体" w:eastAsia="仿宋_GB2312" w:cs="Times New Roman"/>
          <w:sz w:val="24"/>
        </w:rPr>
        <w:t>20%+班主任评分</w:t>
      </w:r>
      <w:r>
        <w:rPr>
          <w:rFonts w:hint="eastAsia" w:ascii="仿宋_GB2312" w:hAnsi="宋体" w:eastAsia="仿宋_GB2312" w:cs="Times New Roman"/>
          <w:sz w:val="24"/>
        </w:rPr>
        <w:t>×1</w:t>
      </w:r>
      <w:r>
        <w:rPr>
          <w:rFonts w:ascii="仿宋_GB2312" w:hAnsi="宋体" w:eastAsia="仿宋_GB2312" w:cs="Times New Roman"/>
          <w:sz w:val="24"/>
        </w:rPr>
        <w:t>0%）</w:t>
      </w:r>
      <w:r>
        <w:rPr>
          <w:rFonts w:hint="eastAsia" w:ascii="仿宋_GB2312" w:hAnsi="宋体" w:eastAsia="仿宋_GB2312" w:cs="Times New Roman"/>
          <w:sz w:val="24"/>
        </w:rPr>
        <w:t>×</w:t>
      </w:r>
      <w:r>
        <w:rPr>
          <w:rFonts w:ascii="仿宋_GB2312" w:hAnsi="宋体" w:eastAsia="仿宋_GB2312" w:cs="Times New Roman"/>
          <w:sz w:val="24"/>
        </w:rPr>
        <w:t>70%</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主要从理想信念、</w:t>
      </w:r>
      <w:r>
        <w:rPr>
          <w:rFonts w:ascii="仿宋_GB2312" w:hAnsi="宋体" w:eastAsia="仿宋_GB2312" w:cs="Times New Roman"/>
          <w:sz w:val="24"/>
        </w:rPr>
        <w:t>集体观念、公共道德、学习态度、组织纪律等五个方面表现</w:t>
      </w:r>
      <w:r>
        <w:rPr>
          <w:rFonts w:hint="eastAsia" w:ascii="仿宋_GB2312" w:hAnsi="宋体" w:eastAsia="仿宋_GB2312" w:cs="Times New Roman"/>
          <w:sz w:val="24"/>
        </w:rPr>
        <w:t>进行综合评价，</w:t>
      </w:r>
      <w:r>
        <w:rPr>
          <w:rFonts w:ascii="仿宋_GB2312" w:hAnsi="宋体" w:eastAsia="仿宋_GB2312" w:cs="Times New Roman"/>
          <w:sz w:val="24"/>
        </w:rPr>
        <w:t>每项20分，详见</w:t>
      </w:r>
      <w:r>
        <w:rPr>
          <w:rFonts w:hint="eastAsia" w:ascii="仿宋_GB2312" w:hAnsi="宋体" w:eastAsia="仿宋_GB2312" w:cs="Times New Roman"/>
          <w:sz w:val="24"/>
        </w:rPr>
        <w:t>下表</w:t>
      </w:r>
      <w:r>
        <w:rPr>
          <w:rFonts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p>
    <w:p>
      <w:pPr>
        <w:adjustRightInd w:val="0"/>
        <w:snapToGrid w:val="0"/>
        <w:spacing w:line="360" w:lineRule="auto"/>
        <w:ind w:firstLine="480" w:firstLineChars="200"/>
        <w:jc w:val="both"/>
        <w:rPr>
          <w:rFonts w:ascii="仿宋_GB2312" w:hAnsi="宋体" w:eastAsia="仿宋_GB2312" w:cs="Times New Roman"/>
          <w:sz w:val="24"/>
        </w:rPr>
      </w:pPr>
    </w:p>
    <w:p>
      <w:pPr>
        <w:adjustRightInd w:val="0"/>
        <w:snapToGrid w:val="0"/>
        <w:spacing w:line="360" w:lineRule="auto"/>
        <w:ind w:firstLine="480" w:firstLineChars="200"/>
        <w:jc w:val="both"/>
        <w:rPr>
          <w:rFonts w:hint="eastAsia" w:ascii="仿宋_GB2312" w:hAnsi="宋体" w:eastAsia="仿宋_GB2312" w:cs="Times New Roman"/>
          <w:sz w:val="24"/>
        </w:rPr>
      </w:pPr>
    </w:p>
    <w:p>
      <w:pPr>
        <w:widowControl/>
        <w:kinsoku w:val="0"/>
        <w:autoSpaceDE w:val="0"/>
        <w:autoSpaceDN w:val="0"/>
        <w:adjustRightInd w:val="0"/>
        <w:snapToGrid w:val="0"/>
        <w:spacing w:before="101"/>
        <w:ind w:left="1292"/>
        <w:jc w:val="both"/>
        <w:textAlignment w:val="baseline"/>
        <w:rPr>
          <w:rFonts w:ascii="黑体" w:hAnsi="黑体" w:eastAsia="黑体" w:cs="Arial"/>
          <w:b/>
          <w:bCs/>
          <w:spacing w:val="6"/>
          <w:kern w:val="0"/>
          <w:sz w:val="31"/>
          <w:szCs w:val="31"/>
        </w:rPr>
      </w:pPr>
    </w:p>
    <w:p>
      <w:pPr>
        <w:widowControl/>
        <w:kinsoku w:val="0"/>
        <w:autoSpaceDE w:val="0"/>
        <w:autoSpaceDN w:val="0"/>
        <w:adjustRightInd w:val="0"/>
        <w:snapToGrid w:val="0"/>
        <w:spacing w:before="101"/>
        <w:ind w:left="1292"/>
        <w:jc w:val="both"/>
        <w:textAlignment w:val="baseline"/>
        <w:rPr>
          <w:rFonts w:hint="eastAsia" w:ascii="黑体" w:hAnsi="黑体" w:eastAsia="黑体" w:cs="Arial"/>
          <w:b/>
          <w:bCs/>
          <w:spacing w:val="6"/>
          <w:kern w:val="0"/>
          <w:sz w:val="31"/>
          <w:szCs w:val="31"/>
        </w:rPr>
      </w:pPr>
      <w:r>
        <w:rPr>
          <w:rFonts w:hint="eastAsia" w:ascii="黑体" w:hAnsi="黑体" w:eastAsia="黑体" w:cs="Arial"/>
          <w:b/>
          <w:bCs/>
          <w:spacing w:val="6"/>
          <w:kern w:val="0"/>
          <w:sz w:val="31"/>
          <w:szCs w:val="31"/>
        </w:rPr>
        <w:t>学年综合测评学生思想品德测评打分表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
        <w:gridCol w:w="424"/>
        <w:gridCol w:w="1461"/>
        <w:gridCol w:w="1438"/>
        <w:gridCol w:w="1438"/>
        <w:gridCol w:w="1476"/>
        <w:gridCol w:w="1438"/>
        <w:gridCol w:w="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学号</w:t>
            </w:r>
          </w:p>
        </w:tc>
        <w:tc>
          <w:tcPr>
            <w:tcW w:w="0" w:type="auto"/>
            <w:vMerge w:val="restart"/>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p>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姓名</w:t>
            </w:r>
          </w:p>
        </w:tc>
        <w:tc>
          <w:tcPr>
            <w:tcW w:w="0" w:type="auto"/>
          </w:tcPr>
          <w:p>
            <w:pPr>
              <w:widowControl/>
              <w:kinsoku w:val="0"/>
              <w:autoSpaceDE w:val="0"/>
              <w:autoSpaceDN w:val="0"/>
              <w:adjustRightInd w:val="0"/>
              <w:snapToGrid w:val="0"/>
              <w:spacing w:before="101"/>
              <w:jc w:val="center"/>
              <w:textAlignment w:val="baseline"/>
              <w:rPr>
                <w:rFonts w:hint="eastAsia" w:ascii="方正仿宋_GB2312" w:hAnsi="方正仿宋_GB2312" w:eastAsia="方正仿宋_GB2312" w:cs="方正仿宋_GB2312"/>
                <w:b/>
                <w:bCs/>
                <w:spacing w:val="6"/>
                <w:kern w:val="0"/>
                <w:sz w:val="18"/>
                <w:szCs w:val="18"/>
                <w:vertAlign w:val="baseline"/>
                <w:lang w:val="en-US" w:eastAsia="zh-CN"/>
              </w:rPr>
            </w:pPr>
            <w:r>
              <w:rPr>
                <w:rFonts w:hint="eastAsia" w:ascii="方正仿宋_GB2312" w:hAnsi="方正仿宋_GB2312" w:eastAsia="方正仿宋_GB2312" w:cs="方正仿宋_GB2312"/>
                <w:b/>
                <w:bCs/>
                <w:spacing w:val="6"/>
                <w:kern w:val="0"/>
                <w:sz w:val="18"/>
                <w:szCs w:val="18"/>
                <w:vertAlign w:val="baseline"/>
                <w:lang w:val="en-US" w:eastAsia="zh-CN"/>
              </w:rPr>
              <w:t>理想信念</w:t>
            </w:r>
          </w:p>
          <w:p>
            <w:pPr>
              <w:widowControl/>
              <w:kinsoku w:val="0"/>
              <w:autoSpaceDE w:val="0"/>
              <w:autoSpaceDN w:val="0"/>
              <w:adjustRightInd w:val="0"/>
              <w:snapToGrid w:val="0"/>
              <w:spacing w:before="101"/>
              <w:jc w:val="center"/>
              <w:textAlignment w:val="baseline"/>
              <w:rPr>
                <w:rFonts w:hint="default"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8"/>
                <w:szCs w:val="18"/>
                <w:vertAlign w:val="baseline"/>
                <w:lang w:val="en-US" w:eastAsia="zh-CN"/>
              </w:rPr>
              <w:t>(0-20分)</w:t>
            </w:r>
          </w:p>
        </w:tc>
        <w:tc>
          <w:tcPr>
            <w:tcW w:w="0" w:type="auto"/>
          </w:tcPr>
          <w:p>
            <w:pPr>
              <w:widowControl/>
              <w:kinsoku w:val="0"/>
              <w:autoSpaceDE w:val="0"/>
              <w:autoSpaceDN w:val="0"/>
              <w:adjustRightInd w:val="0"/>
              <w:snapToGrid w:val="0"/>
              <w:spacing w:before="101"/>
              <w:jc w:val="center"/>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集体观念</w:t>
            </w:r>
          </w:p>
          <w:p>
            <w:pPr>
              <w:widowControl/>
              <w:kinsoku w:val="0"/>
              <w:autoSpaceDE w:val="0"/>
              <w:autoSpaceDN w:val="0"/>
              <w:adjustRightInd w:val="0"/>
              <w:snapToGrid w:val="0"/>
              <w:spacing w:before="101"/>
              <w:jc w:val="center"/>
              <w:textAlignment w:val="baseline"/>
              <w:rPr>
                <w:rFonts w:hint="default"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(0-20分)</w:t>
            </w:r>
          </w:p>
        </w:tc>
        <w:tc>
          <w:tcPr>
            <w:tcW w:w="0" w:type="auto"/>
          </w:tcPr>
          <w:p>
            <w:pPr>
              <w:widowControl/>
              <w:kinsoku w:val="0"/>
              <w:autoSpaceDE w:val="0"/>
              <w:autoSpaceDN w:val="0"/>
              <w:adjustRightInd w:val="0"/>
              <w:snapToGrid w:val="0"/>
              <w:spacing w:before="101"/>
              <w:jc w:val="center"/>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公共道德</w:t>
            </w:r>
          </w:p>
          <w:p>
            <w:pPr>
              <w:widowControl/>
              <w:kinsoku w:val="0"/>
              <w:autoSpaceDE w:val="0"/>
              <w:autoSpaceDN w:val="0"/>
              <w:adjustRightInd w:val="0"/>
              <w:snapToGrid w:val="0"/>
              <w:spacing w:before="101"/>
              <w:jc w:val="center"/>
              <w:textAlignment w:val="baseline"/>
              <w:rPr>
                <w:rFonts w:hint="default"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(0-20分)</w:t>
            </w:r>
          </w:p>
        </w:tc>
        <w:tc>
          <w:tcPr>
            <w:tcW w:w="0" w:type="auto"/>
          </w:tcPr>
          <w:p>
            <w:pPr>
              <w:widowControl/>
              <w:kinsoku w:val="0"/>
              <w:autoSpaceDE w:val="0"/>
              <w:autoSpaceDN w:val="0"/>
              <w:adjustRightInd w:val="0"/>
              <w:snapToGrid w:val="0"/>
              <w:spacing w:before="101"/>
              <w:jc w:val="center"/>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学习态度</w:t>
            </w:r>
          </w:p>
          <w:p>
            <w:pPr>
              <w:widowControl/>
              <w:kinsoku w:val="0"/>
              <w:autoSpaceDE w:val="0"/>
              <w:autoSpaceDN w:val="0"/>
              <w:adjustRightInd w:val="0"/>
              <w:snapToGrid w:val="0"/>
              <w:spacing w:before="101"/>
              <w:jc w:val="center"/>
              <w:textAlignment w:val="baseline"/>
              <w:rPr>
                <w:rFonts w:hint="default"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(0-20分)</w:t>
            </w:r>
          </w:p>
        </w:tc>
        <w:tc>
          <w:tcPr>
            <w:tcW w:w="0" w:type="auto"/>
          </w:tcPr>
          <w:p>
            <w:pPr>
              <w:widowControl/>
              <w:kinsoku w:val="0"/>
              <w:autoSpaceDE w:val="0"/>
              <w:autoSpaceDN w:val="0"/>
              <w:adjustRightInd w:val="0"/>
              <w:snapToGrid w:val="0"/>
              <w:spacing w:before="101"/>
              <w:jc w:val="center"/>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组织纪律</w:t>
            </w:r>
          </w:p>
          <w:p>
            <w:pPr>
              <w:widowControl/>
              <w:kinsoku w:val="0"/>
              <w:autoSpaceDE w:val="0"/>
              <w:autoSpaceDN w:val="0"/>
              <w:adjustRightInd w:val="0"/>
              <w:snapToGrid w:val="0"/>
              <w:spacing w:before="101"/>
              <w:jc w:val="center"/>
              <w:textAlignment w:val="baseline"/>
              <w:rPr>
                <w:rFonts w:hint="default"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(0-20分)</w:t>
            </w:r>
          </w:p>
        </w:tc>
        <w:tc>
          <w:tcPr>
            <w:tcW w:w="0" w:type="auto"/>
            <w:vMerge w:val="restart"/>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lang w:val="en-US" w:eastAsia="zh-CN"/>
              </w:rPr>
            </w:pPr>
            <w:r>
              <w:rPr>
                <w:rFonts w:hint="eastAsia" w:ascii="方正仿宋_GB2312" w:hAnsi="方正仿宋_GB2312" w:eastAsia="方正仿宋_GB2312" w:cs="方正仿宋_GB2312"/>
                <w:b/>
                <w:bCs/>
                <w:spacing w:val="6"/>
                <w:kern w:val="0"/>
                <w:sz w:val="19"/>
                <w:szCs w:val="19"/>
                <w:vertAlign w:val="baseline"/>
                <w:lang w:val="en-US" w:eastAsia="zh-CN"/>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5" w:hRule="atLeast"/>
          <w:jc w:val="center"/>
        </w:trPr>
        <w:tc>
          <w:tcPr>
            <w:tcW w:w="0" w:type="auto"/>
            <w:vMerge w:val="continue"/>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vMerge w:val="continue"/>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line="360" w:lineRule="auto"/>
              <w:jc w:val="both"/>
              <w:textAlignment w:val="baseline"/>
              <w:rPr>
                <w:rFonts w:hint="eastAsia" w:ascii="方正仿宋_GB2312" w:hAnsi="方正仿宋_GB2312" w:eastAsia="方正仿宋_GB2312" w:cs="方正仿宋_GB2312"/>
                <w:b/>
                <w:bCs/>
                <w:spacing w:val="6"/>
                <w:kern w:val="0"/>
                <w:sz w:val="21"/>
                <w:szCs w:val="21"/>
                <w:vertAlign w:val="baseline"/>
              </w:rPr>
            </w:pPr>
            <w:r>
              <w:rPr>
                <w:rFonts w:hint="eastAsia" w:ascii="方正仿宋_GB2312" w:hAnsi="方正仿宋_GB2312" w:eastAsia="方正仿宋_GB2312" w:cs="方正仿宋_GB2312"/>
                <w:b/>
                <w:bCs/>
                <w:spacing w:val="6"/>
                <w:kern w:val="0"/>
                <w:sz w:val="21"/>
                <w:szCs w:val="21"/>
                <w:vertAlign w:val="baseline"/>
              </w:rPr>
              <w:t>坚定理想信念，厚植爱国主义情怀，热爱和拥护中国共产觉，树立正确的世界观、人生观和价值观；自觉加强思想政治修养，积极参加各项政治理论学习和教育活动</w:t>
            </w:r>
          </w:p>
        </w:tc>
        <w:tc>
          <w:tcPr>
            <w:tcW w:w="0" w:type="auto"/>
          </w:tcPr>
          <w:p>
            <w:pPr>
              <w:widowControl/>
              <w:kinsoku w:val="0"/>
              <w:autoSpaceDE w:val="0"/>
              <w:autoSpaceDN w:val="0"/>
              <w:adjustRightInd w:val="0"/>
              <w:snapToGrid w:val="0"/>
              <w:spacing w:before="101" w:line="360" w:lineRule="auto"/>
              <w:jc w:val="both"/>
              <w:textAlignment w:val="baseline"/>
              <w:rPr>
                <w:rFonts w:hint="eastAsia" w:ascii="方正仿宋_GB2312" w:hAnsi="方正仿宋_GB2312" w:eastAsia="方正仿宋_GB2312" w:cs="方正仿宋_GB2312"/>
                <w:b/>
                <w:bCs/>
                <w:spacing w:val="6"/>
                <w:kern w:val="0"/>
                <w:sz w:val="21"/>
                <w:szCs w:val="21"/>
                <w:vertAlign w:val="baseline"/>
              </w:rPr>
            </w:pPr>
            <w:r>
              <w:rPr>
                <w:rFonts w:hint="eastAsia" w:ascii="方正仿宋_GB2312" w:hAnsi="方正仿宋_GB2312" w:eastAsia="方正仿宋_GB2312" w:cs="方正仿宋_GB2312"/>
                <w:b/>
                <w:bCs/>
                <w:spacing w:val="6"/>
                <w:kern w:val="0"/>
                <w:sz w:val="21"/>
                <w:szCs w:val="21"/>
                <w:vertAlign w:val="baseline"/>
              </w:rPr>
              <w:t>顾全大局，有团队协作精神；树立集体荣誉感和集体主义观念，热爱集体、关心集体，积极参与集体各项活动；团结同学，乐于奉献，营造和谐团结的集体氛围</w:t>
            </w:r>
          </w:p>
        </w:tc>
        <w:tc>
          <w:tcPr>
            <w:tcW w:w="0" w:type="auto"/>
          </w:tcPr>
          <w:p>
            <w:pPr>
              <w:widowControl/>
              <w:kinsoku w:val="0"/>
              <w:autoSpaceDE w:val="0"/>
              <w:autoSpaceDN w:val="0"/>
              <w:adjustRightInd w:val="0"/>
              <w:snapToGrid w:val="0"/>
              <w:spacing w:before="101" w:line="360" w:lineRule="auto"/>
              <w:jc w:val="both"/>
              <w:textAlignment w:val="baseline"/>
              <w:rPr>
                <w:rFonts w:hint="eastAsia" w:ascii="方正仿宋_GB2312" w:hAnsi="方正仿宋_GB2312" w:eastAsia="方正仿宋_GB2312" w:cs="方正仿宋_GB2312"/>
                <w:b/>
                <w:bCs/>
                <w:spacing w:val="6"/>
                <w:kern w:val="0"/>
                <w:sz w:val="21"/>
                <w:szCs w:val="21"/>
                <w:vertAlign w:val="baseline"/>
              </w:rPr>
            </w:pPr>
            <w:r>
              <w:rPr>
                <w:rFonts w:hint="eastAsia" w:ascii="方正仿宋_GB2312" w:hAnsi="方正仿宋_GB2312" w:eastAsia="方正仿宋_GB2312" w:cs="方正仿宋_GB2312"/>
                <w:b/>
                <w:bCs/>
                <w:spacing w:val="6"/>
                <w:kern w:val="0"/>
                <w:sz w:val="21"/>
                <w:szCs w:val="21"/>
                <w:vertAlign w:val="baseline"/>
              </w:rPr>
              <w:t>加强品德修养，自觉维护社会公德，尊老爱幼、尊敬师长；在公共场所举止文明，待人礼貌，爱护公物；保护环境，牢固树立环保意识；敢于同不良行为作斗争</w:t>
            </w:r>
          </w:p>
        </w:tc>
        <w:tc>
          <w:tcPr>
            <w:tcW w:w="0" w:type="auto"/>
          </w:tcPr>
          <w:p>
            <w:pPr>
              <w:widowControl/>
              <w:kinsoku w:val="0"/>
              <w:autoSpaceDE w:val="0"/>
              <w:autoSpaceDN w:val="0"/>
              <w:adjustRightInd w:val="0"/>
              <w:snapToGrid w:val="0"/>
              <w:spacing w:before="101" w:line="360" w:lineRule="auto"/>
              <w:jc w:val="both"/>
              <w:textAlignment w:val="baseline"/>
              <w:rPr>
                <w:rFonts w:hint="eastAsia" w:ascii="方正仿宋_GB2312" w:hAnsi="方正仿宋_GB2312" w:eastAsia="方正仿宋_GB2312" w:cs="方正仿宋_GB2312"/>
                <w:b/>
                <w:bCs/>
                <w:spacing w:val="6"/>
                <w:kern w:val="0"/>
                <w:sz w:val="21"/>
                <w:szCs w:val="21"/>
                <w:vertAlign w:val="baseline"/>
              </w:rPr>
            </w:pPr>
            <w:r>
              <w:rPr>
                <w:rFonts w:hint="eastAsia" w:ascii="方正仿宋_GB2312" w:hAnsi="方正仿宋_GB2312" w:eastAsia="方正仿宋_GB2312" w:cs="方正仿宋_GB2312"/>
                <w:b/>
                <w:bCs/>
                <w:spacing w:val="6"/>
                <w:kern w:val="0"/>
                <w:sz w:val="21"/>
                <w:szCs w:val="21"/>
                <w:vertAlign w:val="baseline"/>
              </w:rPr>
              <w:t>学习态度端 正，目标明确，基础扎实；有科学的思维方法和严谨的治学精神，自觉培养综合 素质和创新 思维；不迟 到、早退、 旷课，诚信 考试，无考 试违规情况</w:t>
            </w:r>
          </w:p>
        </w:tc>
        <w:tc>
          <w:tcPr>
            <w:tcW w:w="0" w:type="auto"/>
          </w:tcPr>
          <w:p>
            <w:pPr>
              <w:widowControl/>
              <w:kinsoku w:val="0"/>
              <w:autoSpaceDE w:val="0"/>
              <w:autoSpaceDN w:val="0"/>
              <w:adjustRightInd w:val="0"/>
              <w:snapToGrid w:val="0"/>
              <w:spacing w:before="101" w:line="360" w:lineRule="auto"/>
              <w:jc w:val="both"/>
              <w:textAlignment w:val="baseline"/>
              <w:rPr>
                <w:rFonts w:hint="eastAsia" w:ascii="方正仿宋_GB2312" w:hAnsi="方正仿宋_GB2312" w:eastAsia="方正仿宋_GB2312" w:cs="方正仿宋_GB2312"/>
                <w:b/>
                <w:bCs/>
                <w:spacing w:val="6"/>
                <w:kern w:val="0"/>
                <w:sz w:val="21"/>
                <w:szCs w:val="21"/>
                <w:vertAlign w:val="baseline"/>
              </w:rPr>
            </w:pPr>
            <w:r>
              <w:rPr>
                <w:rFonts w:hint="eastAsia" w:ascii="方正仿宋_GB2312" w:hAnsi="方正仿宋_GB2312" w:eastAsia="方正仿宋_GB2312" w:cs="方正仿宋_GB2312"/>
                <w:b/>
                <w:bCs/>
                <w:spacing w:val="6"/>
                <w:kern w:val="0"/>
                <w:sz w:val="21"/>
                <w:szCs w:val="21"/>
                <w:vertAlign w:val="baseline"/>
              </w:rPr>
              <w:t>增强法制观念，遵守宪法、法律、法规，自觉维护公共秩序，做到令行禁止；具有良好的组织观念和纪律意识，遵守学校各项规章制度，积极发挥示范引领作用</w:t>
            </w:r>
          </w:p>
        </w:tc>
        <w:tc>
          <w:tcPr>
            <w:tcW w:w="0" w:type="auto"/>
            <w:vMerge w:val="continue"/>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c>
          <w:tcPr>
            <w:tcW w:w="0" w:type="auto"/>
          </w:tcPr>
          <w:p>
            <w:pPr>
              <w:widowControl/>
              <w:kinsoku w:val="0"/>
              <w:autoSpaceDE w:val="0"/>
              <w:autoSpaceDN w:val="0"/>
              <w:adjustRightInd w:val="0"/>
              <w:snapToGrid w:val="0"/>
              <w:spacing w:before="101"/>
              <w:jc w:val="both"/>
              <w:textAlignment w:val="baseline"/>
              <w:rPr>
                <w:rFonts w:hint="eastAsia" w:ascii="方正仿宋_GB2312" w:hAnsi="方正仿宋_GB2312" w:eastAsia="方正仿宋_GB2312" w:cs="方正仿宋_GB2312"/>
                <w:b/>
                <w:bCs/>
                <w:spacing w:val="6"/>
                <w:kern w:val="0"/>
                <w:sz w:val="19"/>
                <w:szCs w:val="19"/>
                <w:vertAlign w:val="baseline"/>
              </w:rPr>
            </w:pPr>
          </w:p>
        </w:tc>
      </w:tr>
    </w:tbl>
    <w:p>
      <w:pPr>
        <w:widowControl/>
        <w:kinsoku w:val="0"/>
        <w:autoSpaceDE w:val="0"/>
        <w:autoSpaceDN w:val="0"/>
        <w:adjustRightInd w:val="0"/>
        <w:snapToGrid w:val="0"/>
        <w:spacing w:line="125" w:lineRule="exact"/>
        <w:jc w:val="both"/>
        <w:textAlignment w:val="baseline"/>
        <w:rPr>
          <w:rFonts w:hint="eastAsia" w:ascii="仿宋_GB2312" w:hAnsi="宋体" w:eastAsia="仿宋_GB2312" w:cs="Times New Roman"/>
          <w:sz w:val="24"/>
        </w:rPr>
      </w:pPr>
    </w:p>
    <w:p>
      <w:pPr>
        <w:widowControl/>
        <w:kinsoku w:val="0"/>
        <w:autoSpaceDE w:val="0"/>
        <w:autoSpaceDN w:val="0"/>
        <w:adjustRightInd w:val="0"/>
        <w:snapToGrid w:val="0"/>
        <w:spacing w:line="125" w:lineRule="exact"/>
        <w:jc w:val="both"/>
        <w:textAlignment w:val="baseline"/>
        <w:rPr>
          <w:rFonts w:hint="eastAsia" w:ascii="仿宋_GB2312" w:hAnsi="宋体" w:eastAsia="仿宋_GB2312" w:cs="Times New Roman"/>
          <w:sz w:val="24"/>
        </w:rPr>
      </w:pPr>
    </w:p>
    <w:p>
      <w:pPr>
        <w:widowControl/>
        <w:kinsoku w:val="0"/>
        <w:autoSpaceDE w:val="0"/>
        <w:autoSpaceDN w:val="0"/>
        <w:adjustRightInd w:val="0"/>
        <w:snapToGrid w:val="0"/>
        <w:spacing w:line="125" w:lineRule="exact"/>
        <w:jc w:val="both"/>
        <w:textAlignment w:val="baseline"/>
        <w:rPr>
          <w:rFonts w:hint="eastAsia" w:ascii="仿宋_GB2312" w:hAnsi="宋体" w:eastAsia="仿宋_GB2312" w:cs="Times New Roman"/>
          <w:sz w:val="24"/>
        </w:rPr>
      </w:pPr>
    </w:p>
    <w:p>
      <w:pPr>
        <w:numPr>
          <w:ilvl w:val="0"/>
          <w:numId w:val="1"/>
        </w:num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德育加分（30分）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德育加分由思想品德表现和学生</w:t>
      </w:r>
      <w:r>
        <w:rPr>
          <w:rFonts w:hint="eastAsia" w:ascii="仿宋_GB2312" w:hAnsi="宋体" w:eastAsia="仿宋_GB2312" w:cs="Times New Roman"/>
          <w:sz w:val="24"/>
          <w:lang w:val="en-US" w:eastAsia="zh-CN"/>
        </w:rPr>
        <w:t>校内</w:t>
      </w:r>
      <w:r>
        <w:rPr>
          <w:rFonts w:hint="eastAsia" w:ascii="仿宋_GB2312" w:hAnsi="宋体" w:eastAsia="仿宋_GB2312" w:cs="Times New Roman"/>
          <w:sz w:val="24"/>
        </w:rPr>
        <w:t>工作组成，各项分值可累加，上限不超过30分。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（1）在舍己救人、保卫国家集体财产安全、树立良好学风、校风方面有突出贡献者，个人提交申请及证明，学院团委统一评定</w:t>
      </w:r>
      <w:r>
        <w:rPr>
          <w:rFonts w:hint="eastAsia" w:ascii="仿宋_GB2312" w:hAnsi="宋体" w:eastAsia="仿宋_GB2312" w:cs="Times New Roman"/>
          <w:sz w:val="24"/>
          <w:lang w:eastAsia="zh-CN"/>
        </w:rPr>
        <w:t>，</w:t>
      </w:r>
      <w:r>
        <w:rPr>
          <w:rFonts w:hint="eastAsia" w:ascii="仿宋_GB2312" w:hAnsi="宋体" w:eastAsia="仿宋_GB2312" w:cs="Times New Roman"/>
          <w:sz w:val="24"/>
        </w:rPr>
        <w:t>经批准可加5-20分。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运动会</w:t>
      </w:r>
      <w:r>
        <w:rPr>
          <w:rFonts w:hint="eastAsia" w:ascii="仿宋_GB2312" w:hAnsi="宋体" w:eastAsia="仿宋_GB2312" w:cs="Times New Roman"/>
          <w:sz w:val="24"/>
        </w:rPr>
        <w:t>拉拉</w:t>
      </w:r>
      <w:r>
        <w:rPr>
          <w:rFonts w:ascii="仿宋_GB2312" w:hAnsi="宋体" w:eastAsia="仿宋_GB2312" w:cs="Times New Roman"/>
          <w:sz w:val="24"/>
        </w:rPr>
        <w:t>队及方阵成员参与训练且上场演示每人次加</w:t>
      </w:r>
      <w:r>
        <w:rPr>
          <w:rFonts w:hint="eastAsia" w:ascii="仿宋_GB2312" w:hAnsi="宋体" w:eastAsia="仿宋_GB2312" w:cs="Times New Roman"/>
          <w:sz w:val="24"/>
          <w:lang w:val="en-US" w:eastAsia="zh-CN"/>
        </w:rPr>
        <w:t>2</w:t>
      </w:r>
      <w:r>
        <w:rPr>
          <w:rFonts w:hint="eastAsia" w:ascii="仿宋_GB2312" w:hAnsi="宋体" w:eastAsia="仿宋_GB2312" w:cs="Times New Roman"/>
          <w:sz w:val="24"/>
        </w:rPr>
        <w:t>分，仅仅参演无训练加</w:t>
      </w:r>
      <w:r>
        <w:rPr>
          <w:rFonts w:hint="eastAsia" w:ascii="仿宋_GB2312" w:hAnsi="宋体" w:eastAsia="仿宋_GB2312" w:cs="Times New Roman"/>
          <w:sz w:val="24"/>
          <w:lang w:val="en-US" w:eastAsia="zh-CN"/>
        </w:rPr>
        <w:t>1</w:t>
      </w:r>
      <w:r>
        <w:rPr>
          <w:rFonts w:hint="eastAsia" w:ascii="仿宋_GB2312" w:hAnsi="宋体" w:eastAsia="仿宋_GB2312" w:cs="Times New Roman"/>
          <w:sz w:val="24"/>
        </w:rPr>
        <w:t>分；获得精神文明奖拉拉队成员每人额外加</w:t>
      </w:r>
      <w:r>
        <w:rPr>
          <w:rFonts w:hint="eastAsia" w:ascii="仿宋_GB2312" w:hAnsi="宋体" w:eastAsia="仿宋_GB2312" w:cs="Times New Roman"/>
          <w:sz w:val="24"/>
          <w:lang w:val="en-US" w:eastAsia="zh-CN"/>
        </w:rPr>
        <w:t>1</w:t>
      </w:r>
      <w:r>
        <w:rPr>
          <w:rFonts w:hint="eastAsia" w:ascii="仿宋_GB2312" w:hAnsi="宋体" w:eastAsia="仿宋_GB2312" w:cs="Times New Roman"/>
          <w:sz w:val="24"/>
        </w:rPr>
        <w:t>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（3）个人</w:t>
      </w:r>
      <w:r>
        <w:rPr>
          <w:rFonts w:ascii="仿宋_GB2312" w:hAnsi="宋体" w:eastAsia="仿宋_GB2312" w:cs="Times New Roman"/>
          <w:sz w:val="24"/>
        </w:rPr>
        <w:t>代表学院参加校级部门组织的演讲比赛、征文比赛、文化作品征集（如视频</w:t>
      </w:r>
      <w:r>
        <w:rPr>
          <w:rFonts w:hint="eastAsia" w:ascii="仿宋_GB2312" w:hAnsi="宋体" w:eastAsia="仿宋_GB2312" w:cs="Times New Roman"/>
          <w:sz w:val="24"/>
        </w:rPr>
        <w:t>、</w:t>
      </w:r>
      <w:r>
        <w:rPr>
          <w:rFonts w:ascii="仿宋_GB2312" w:hAnsi="宋体" w:eastAsia="仿宋_GB2312" w:cs="Times New Roman"/>
          <w:sz w:val="24"/>
        </w:rPr>
        <w:t>摄影</w:t>
      </w:r>
      <w:r>
        <w:rPr>
          <w:rFonts w:hint="eastAsia" w:ascii="仿宋_GB2312" w:hAnsi="宋体" w:eastAsia="仿宋_GB2312" w:cs="Times New Roman"/>
          <w:sz w:val="24"/>
        </w:rPr>
        <w:t>、</w:t>
      </w:r>
      <w:r>
        <w:rPr>
          <w:rFonts w:ascii="仿宋_GB2312" w:hAnsi="宋体" w:eastAsia="仿宋_GB2312" w:cs="Times New Roman"/>
          <w:sz w:val="24"/>
        </w:rPr>
        <w:t>绘画作品征集）</w:t>
      </w:r>
      <w:r>
        <w:rPr>
          <w:rFonts w:hint="eastAsia" w:ascii="仿宋_GB2312" w:hAnsi="宋体" w:eastAsia="仿宋_GB2312" w:cs="Times New Roman"/>
          <w:sz w:val="24"/>
        </w:rPr>
        <w:t>，</w:t>
      </w:r>
      <w:r>
        <w:rPr>
          <w:rFonts w:ascii="仿宋_GB2312" w:hAnsi="宋体" w:eastAsia="仿宋_GB2312" w:cs="Times New Roman"/>
          <w:sz w:val="24"/>
        </w:rPr>
        <w:t>参与加</w:t>
      </w:r>
      <w:r>
        <w:rPr>
          <w:rFonts w:hint="eastAsia" w:ascii="仿宋_GB2312" w:hAnsi="宋体" w:eastAsia="仿宋_GB2312" w:cs="Times New Roman"/>
          <w:sz w:val="24"/>
        </w:rPr>
        <w:t>1分，</w:t>
      </w:r>
      <w:r>
        <w:rPr>
          <w:rFonts w:ascii="仿宋_GB2312" w:hAnsi="宋体" w:eastAsia="仿宋_GB2312" w:cs="Times New Roman"/>
          <w:sz w:val="24"/>
        </w:rPr>
        <w:t>获得校级</w:t>
      </w:r>
      <w:r>
        <w:rPr>
          <w:rFonts w:hint="eastAsia" w:ascii="仿宋_GB2312" w:hAnsi="宋体" w:eastAsia="仿宋_GB2312" w:cs="Times New Roman"/>
          <w:sz w:val="24"/>
        </w:rPr>
        <w:t>一、二、三等奖分别加4、3、2</w:t>
      </w:r>
      <w:r>
        <w:rPr>
          <w:rFonts w:ascii="仿宋_GB2312" w:hAnsi="宋体" w:eastAsia="仿宋_GB2312" w:cs="Times New Roman"/>
          <w:sz w:val="24"/>
        </w:rPr>
        <w:t>分</w:t>
      </w:r>
      <w:r>
        <w:rPr>
          <w:rFonts w:hint="eastAsia" w:ascii="仿宋_GB2312" w:hAnsi="宋体" w:eastAsia="仿宋_GB2312" w:cs="Times New Roman"/>
          <w:sz w:val="24"/>
        </w:rPr>
        <w:t>，鼓励奖/优秀奖</w:t>
      </w:r>
      <w:r>
        <w:rPr>
          <w:rFonts w:hint="eastAsia" w:ascii="仿宋_GB2312" w:hAnsi="宋体" w:eastAsia="仿宋_GB2312" w:cs="Times New Roman"/>
          <w:sz w:val="24"/>
          <w:lang w:val="en-US" w:eastAsia="zh-CN"/>
        </w:rPr>
        <w:t>按</w:t>
      </w:r>
      <w:r>
        <w:rPr>
          <w:rFonts w:hint="eastAsia" w:ascii="仿宋_GB2312" w:hAnsi="宋体" w:eastAsia="仿宋_GB2312" w:cs="Times New Roman"/>
          <w:sz w:val="24"/>
        </w:rPr>
        <w:t>1</w:t>
      </w:r>
      <w:r>
        <w:rPr>
          <w:rFonts w:ascii="仿宋_GB2312" w:hAnsi="宋体" w:eastAsia="仿宋_GB2312" w:cs="Times New Roman"/>
          <w:sz w:val="24"/>
        </w:rPr>
        <w:t>.5分加分</w:t>
      </w:r>
      <w:r>
        <w:rPr>
          <w:rFonts w:hint="eastAsia" w:ascii="仿宋_GB2312" w:hAnsi="宋体" w:eastAsia="仿宋_GB2312" w:cs="Times New Roman"/>
          <w:sz w:val="24"/>
        </w:rPr>
        <w:t>；获得省部级一、二、三等奖分别加8、7、6</w:t>
      </w:r>
      <w:r>
        <w:rPr>
          <w:rFonts w:ascii="仿宋_GB2312" w:hAnsi="宋体" w:eastAsia="仿宋_GB2312" w:cs="Times New Roman"/>
          <w:sz w:val="24"/>
        </w:rPr>
        <w:t>分，鼓励奖</w:t>
      </w:r>
      <w:r>
        <w:rPr>
          <w:rFonts w:hint="eastAsia" w:ascii="仿宋_GB2312" w:hAnsi="宋体" w:eastAsia="仿宋_GB2312" w:cs="Times New Roman"/>
          <w:sz w:val="24"/>
        </w:rPr>
        <w:t>/优秀奖按5</w:t>
      </w:r>
      <w:r>
        <w:rPr>
          <w:rFonts w:ascii="仿宋_GB2312" w:hAnsi="宋体" w:eastAsia="仿宋_GB2312" w:cs="Times New Roman"/>
          <w:sz w:val="24"/>
        </w:rPr>
        <w:t>分加分</w:t>
      </w:r>
      <w:r>
        <w:rPr>
          <w:rFonts w:hint="eastAsia" w:ascii="仿宋_GB2312" w:hAnsi="宋体" w:eastAsia="仿宋_GB2312" w:cs="Times New Roman"/>
          <w:sz w:val="24"/>
        </w:rPr>
        <w:t>；获得国家级一、二、三等奖分别加12、11、10</w:t>
      </w:r>
      <w:r>
        <w:rPr>
          <w:rFonts w:ascii="仿宋_GB2312" w:hAnsi="宋体" w:eastAsia="仿宋_GB2312" w:cs="Times New Roman"/>
          <w:sz w:val="24"/>
        </w:rPr>
        <w:t>分，鼓励奖</w:t>
      </w:r>
      <w:r>
        <w:rPr>
          <w:rFonts w:hint="eastAsia" w:ascii="仿宋_GB2312" w:hAnsi="宋体" w:eastAsia="仿宋_GB2312" w:cs="Times New Roman"/>
          <w:sz w:val="24"/>
        </w:rPr>
        <w:t>/优秀奖按9</w:t>
      </w:r>
      <w:r>
        <w:rPr>
          <w:rFonts w:ascii="仿宋_GB2312" w:hAnsi="宋体" w:eastAsia="仿宋_GB2312" w:cs="Times New Roman"/>
          <w:sz w:val="24"/>
        </w:rPr>
        <w:t>分加分</w:t>
      </w:r>
      <w:r>
        <w:rPr>
          <w:rFonts w:hint="eastAsia" w:ascii="仿宋_GB2312" w:hAnsi="宋体" w:eastAsia="仿宋_GB2312" w:cs="Times New Roman"/>
          <w:sz w:val="24"/>
        </w:rPr>
        <w:t>。</w:t>
      </w:r>
      <w:r>
        <w:rPr>
          <w:rFonts w:ascii="仿宋_GB2312" w:hAnsi="宋体" w:eastAsia="仿宋_GB2312" w:cs="Times New Roman"/>
          <w:sz w:val="24"/>
        </w:rPr>
        <w:t>若以</w:t>
      </w:r>
      <w:r>
        <w:rPr>
          <w:rFonts w:hint="eastAsia" w:ascii="仿宋_GB2312" w:hAnsi="宋体" w:eastAsia="仿宋_GB2312" w:cs="Times New Roman"/>
          <w:sz w:val="24"/>
        </w:rPr>
        <w:t>团队</w:t>
      </w:r>
      <w:r>
        <w:rPr>
          <w:rFonts w:ascii="仿宋_GB2312" w:hAnsi="宋体" w:eastAsia="仿宋_GB2312" w:cs="Times New Roman"/>
          <w:sz w:val="24"/>
        </w:rPr>
        <w:t>为单位参赛</w:t>
      </w:r>
      <w:r>
        <w:rPr>
          <w:rFonts w:hint="eastAsia" w:ascii="仿宋_GB2312" w:hAnsi="宋体" w:eastAsia="仿宋_GB2312" w:cs="Times New Roman"/>
          <w:sz w:val="24"/>
        </w:rPr>
        <w:t>，</w:t>
      </w:r>
      <w:r>
        <w:rPr>
          <w:rFonts w:ascii="仿宋_GB2312" w:hAnsi="宋体" w:eastAsia="仿宋_GB2312" w:cs="Times New Roman"/>
          <w:sz w:val="24"/>
        </w:rPr>
        <w:t>获得校级</w:t>
      </w:r>
      <w:r>
        <w:rPr>
          <w:rFonts w:hint="eastAsia" w:ascii="仿宋_GB2312" w:hAnsi="宋体" w:eastAsia="仿宋_GB2312" w:cs="Times New Roman"/>
          <w:sz w:val="24"/>
        </w:rPr>
        <w:t>一、二、三等奖分别加4、3、2</w:t>
      </w:r>
      <w:r>
        <w:rPr>
          <w:rFonts w:ascii="仿宋_GB2312" w:hAnsi="宋体" w:eastAsia="仿宋_GB2312" w:cs="Times New Roman"/>
          <w:sz w:val="24"/>
        </w:rPr>
        <w:t>分</w:t>
      </w:r>
      <w:r>
        <w:rPr>
          <w:rFonts w:hint="eastAsia" w:ascii="仿宋_GB2312" w:hAnsi="宋体" w:eastAsia="仿宋_GB2312" w:cs="Times New Roman"/>
          <w:sz w:val="24"/>
        </w:rPr>
        <w:t>，鼓励奖/优秀奖</w:t>
      </w:r>
      <w:r>
        <w:rPr>
          <w:rFonts w:hint="eastAsia" w:ascii="仿宋_GB2312" w:hAnsi="宋体" w:eastAsia="仿宋_GB2312" w:cs="Times New Roman"/>
          <w:sz w:val="24"/>
          <w:lang w:val="en-US" w:eastAsia="zh-CN"/>
        </w:rPr>
        <w:t>按</w:t>
      </w:r>
      <w:r>
        <w:rPr>
          <w:rFonts w:hint="eastAsia" w:ascii="仿宋_GB2312" w:hAnsi="宋体" w:eastAsia="仿宋_GB2312" w:cs="Times New Roman"/>
          <w:sz w:val="24"/>
        </w:rPr>
        <w:t>1</w:t>
      </w:r>
      <w:r>
        <w:rPr>
          <w:rFonts w:ascii="仿宋_GB2312" w:hAnsi="宋体" w:eastAsia="仿宋_GB2312" w:cs="Times New Roman"/>
          <w:sz w:val="24"/>
        </w:rPr>
        <w:t>.5分加分</w:t>
      </w:r>
      <w:r>
        <w:rPr>
          <w:rFonts w:hint="eastAsia" w:ascii="仿宋_GB2312" w:hAnsi="宋体" w:eastAsia="仿宋_GB2312" w:cs="Times New Roman"/>
          <w:sz w:val="24"/>
        </w:rPr>
        <w:t>；获得省部级一、二、三等奖分别加12、10、8</w:t>
      </w:r>
      <w:r>
        <w:rPr>
          <w:rFonts w:ascii="仿宋_GB2312" w:hAnsi="宋体" w:eastAsia="仿宋_GB2312" w:cs="Times New Roman"/>
          <w:sz w:val="24"/>
        </w:rPr>
        <w:t>分，鼓励奖</w:t>
      </w:r>
      <w:r>
        <w:rPr>
          <w:rFonts w:hint="eastAsia" w:ascii="仿宋_GB2312" w:hAnsi="宋体" w:eastAsia="仿宋_GB2312" w:cs="Times New Roman"/>
          <w:sz w:val="24"/>
        </w:rPr>
        <w:t>/优秀奖按6</w:t>
      </w:r>
      <w:r>
        <w:rPr>
          <w:rFonts w:ascii="仿宋_GB2312" w:hAnsi="宋体" w:eastAsia="仿宋_GB2312" w:cs="Times New Roman"/>
          <w:sz w:val="24"/>
        </w:rPr>
        <w:t>分加分</w:t>
      </w:r>
      <w:r>
        <w:rPr>
          <w:rFonts w:hint="eastAsia" w:ascii="仿宋_GB2312" w:hAnsi="宋体" w:eastAsia="仿宋_GB2312" w:cs="Times New Roman"/>
          <w:sz w:val="24"/>
        </w:rPr>
        <w:t>；获得国家级一、二、三等奖分别加20、18、16</w:t>
      </w:r>
      <w:r>
        <w:rPr>
          <w:rFonts w:ascii="仿宋_GB2312" w:hAnsi="宋体" w:eastAsia="仿宋_GB2312" w:cs="Times New Roman"/>
          <w:sz w:val="24"/>
        </w:rPr>
        <w:t>分，鼓励奖</w:t>
      </w:r>
      <w:r>
        <w:rPr>
          <w:rFonts w:hint="eastAsia" w:ascii="仿宋_GB2312" w:hAnsi="宋体" w:eastAsia="仿宋_GB2312" w:cs="Times New Roman"/>
          <w:sz w:val="24"/>
        </w:rPr>
        <w:t>/优秀奖按14</w:t>
      </w:r>
      <w:r>
        <w:rPr>
          <w:rFonts w:ascii="仿宋_GB2312" w:hAnsi="宋体" w:eastAsia="仿宋_GB2312" w:cs="Times New Roman"/>
          <w:sz w:val="24"/>
        </w:rPr>
        <w:t>分加分</w:t>
      </w:r>
      <w:r>
        <w:rPr>
          <w:rFonts w:hint="eastAsia" w:ascii="仿宋_GB2312" w:hAnsi="宋体" w:eastAsia="仿宋_GB2312" w:cs="Times New Roman"/>
          <w:sz w:val="24"/>
        </w:rPr>
        <w:t>。团队参赛中每人按1</w:t>
      </w:r>
      <w:r>
        <w:rPr>
          <w:rFonts w:ascii="仿宋_GB2312" w:hAnsi="宋体" w:eastAsia="仿宋_GB2312" w:cs="Times New Roman"/>
          <w:sz w:val="24"/>
        </w:rPr>
        <w:t>/2比例加分</w:t>
      </w:r>
      <w:r>
        <w:rPr>
          <w:rFonts w:hint="eastAsia" w:ascii="仿宋_GB2312" w:hAnsi="宋体" w:eastAsia="仿宋_GB2312" w:cs="Times New Roman"/>
          <w:sz w:val="24"/>
        </w:rPr>
        <w:t>，或按照绝对主力</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获奖团队人员排序前3名）</w:t>
      </w:r>
      <w:r>
        <w:rPr>
          <w:rFonts w:hint="eastAsia" w:ascii="仿宋_GB2312" w:hAnsi="宋体" w:eastAsia="仿宋_GB2312" w:cs="Times New Roman"/>
          <w:sz w:val="24"/>
        </w:rPr>
        <w:t>按</w:t>
      </w:r>
      <w:r>
        <w:rPr>
          <w:rFonts w:ascii="仿宋_GB2312" w:hAnsi="宋体" w:eastAsia="仿宋_GB2312" w:cs="Times New Roman"/>
          <w:sz w:val="24"/>
        </w:rPr>
        <w:t>2/3</w:t>
      </w:r>
      <w:r>
        <w:rPr>
          <w:rFonts w:hint="eastAsia" w:ascii="仿宋_GB2312" w:hAnsi="宋体" w:eastAsia="仿宋_GB2312" w:cs="Times New Roman"/>
          <w:sz w:val="24"/>
        </w:rPr>
        <w:t>比例加分，一般主力</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获奖团队其余人员）</w:t>
      </w:r>
      <w:r>
        <w:rPr>
          <w:rFonts w:hint="eastAsia" w:ascii="仿宋_GB2312" w:hAnsi="宋体" w:eastAsia="仿宋_GB2312" w:cs="Times New Roman"/>
          <w:sz w:val="24"/>
        </w:rPr>
        <w:t>按</w:t>
      </w:r>
      <w:r>
        <w:rPr>
          <w:rFonts w:ascii="仿宋_GB2312" w:hAnsi="宋体" w:eastAsia="仿宋_GB2312" w:cs="Times New Roman"/>
          <w:sz w:val="24"/>
        </w:rPr>
        <w:t>1/3比例加分</w:t>
      </w:r>
      <w:r>
        <w:rPr>
          <w:rFonts w:hint="eastAsia" w:ascii="仿宋_GB2312" w:hAnsi="宋体" w:eastAsia="仿宋_GB2312" w:cs="Times New Roman"/>
          <w:sz w:val="24"/>
        </w:rPr>
        <w:t>，其中若</w:t>
      </w:r>
      <w:r>
        <w:rPr>
          <w:rFonts w:hint="eastAsia" w:ascii="仿宋_GB2312" w:hAnsi="宋体" w:eastAsia="仿宋_GB2312" w:cs="Times New Roman"/>
          <w:sz w:val="24"/>
          <w:lang w:val="en-US" w:eastAsia="zh-CN"/>
        </w:rPr>
        <w:t>以党</w:t>
      </w:r>
      <w:r>
        <w:rPr>
          <w:rFonts w:hint="eastAsia" w:ascii="仿宋_GB2312" w:hAnsi="宋体" w:eastAsia="仿宋_GB2312" w:cs="Times New Roman"/>
          <w:sz w:val="24"/>
        </w:rPr>
        <w:t>支部、团支部、班级、宿舍等获得的集体荣誉，集体成员每人均按对应级别加分。如本条中所获荣誉不分级别，视为该等级一等奖。参加学校就业指导中心组织的就业征文，成功提交符合要求的作品每次加2分，获得一、二、三等奖分别加5、4、3分。</w:t>
      </w:r>
    </w:p>
    <w:p>
      <w:pPr>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（4）学年内志愿服务时长达到</w:t>
      </w:r>
      <w:r>
        <w:rPr>
          <w:rFonts w:ascii="仿宋_GB2312" w:hAnsi="宋体" w:eastAsia="仿宋_GB2312" w:cs="Times New Roman"/>
          <w:sz w:val="24"/>
        </w:rPr>
        <w:t>40</w:t>
      </w:r>
      <w:r>
        <w:rPr>
          <w:rFonts w:hint="eastAsia" w:ascii="仿宋_GB2312" w:hAnsi="宋体" w:eastAsia="仿宋_GB2312" w:cs="Times New Roman"/>
          <w:sz w:val="24"/>
        </w:rPr>
        <w:t>小时的，加2分；达到</w:t>
      </w:r>
      <w:r>
        <w:rPr>
          <w:rFonts w:ascii="仿宋_GB2312" w:hAnsi="宋体" w:eastAsia="仿宋_GB2312" w:cs="Times New Roman"/>
          <w:sz w:val="24"/>
        </w:rPr>
        <w:t>60</w:t>
      </w:r>
      <w:r>
        <w:rPr>
          <w:rFonts w:hint="eastAsia" w:ascii="仿宋_GB2312" w:hAnsi="宋体" w:eastAsia="仿宋_GB2312" w:cs="Times New Roman"/>
          <w:sz w:val="24"/>
        </w:rPr>
        <w:t>小时的，加3分；达到</w:t>
      </w:r>
      <w:r>
        <w:rPr>
          <w:rFonts w:ascii="仿宋_GB2312" w:hAnsi="宋体" w:eastAsia="仿宋_GB2312" w:cs="Times New Roman"/>
          <w:sz w:val="24"/>
        </w:rPr>
        <w:t>80小时的，加</w:t>
      </w:r>
      <w:r>
        <w:rPr>
          <w:rFonts w:hint="eastAsia" w:ascii="仿宋_GB2312" w:hAnsi="宋体" w:eastAsia="仿宋_GB2312" w:cs="Times New Roman"/>
          <w:sz w:val="24"/>
        </w:rPr>
        <w:t>4</w:t>
      </w:r>
      <w:r>
        <w:rPr>
          <w:rFonts w:ascii="仿宋_GB2312" w:hAnsi="宋体" w:eastAsia="仿宋_GB2312" w:cs="Times New Roman"/>
          <w:sz w:val="24"/>
        </w:rPr>
        <w:t>分；100</w:t>
      </w:r>
      <w:r>
        <w:rPr>
          <w:rFonts w:hint="eastAsia" w:ascii="仿宋_GB2312" w:hAnsi="宋体" w:eastAsia="仿宋_GB2312" w:cs="Times New Roman"/>
          <w:sz w:val="24"/>
        </w:rPr>
        <w:t>小时以上的加5分。志愿时长以</w:t>
      </w:r>
      <w:r>
        <w:rPr>
          <w:rFonts w:hint="eastAsia" w:ascii="仿宋_GB2312" w:hAnsi="宋体" w:eastAsia="仿宋_GB2312" w:cs="Times New Roman"/>
          <w:sz w:val="24"/>
          <w:lang w:val="en-US" w:eastAsia="zh-CN"/>
        </w:rPr>
        <w:t>第二课堂</w:t>
      </w:r>
      <w:r>
        <w:rPr>
          <w:rFonts w:hint="eastAsia" w:ascii="仿宋_GB2312" w:hAnsi="宋体" w:eastAsia="仿宋_GB2312" w:cs="Times New Roman"/>
          <w:sz w:val="24"/>
        </w:rPr>
        <w:t>平台记录为准，由学院学生组织负责统计。获得省部级及以上志愿服务先进个人的，根据获奖级别每人次加2</w:t>
      </w:r>
      <w:r>
        <w:rPr>
          <w:rFonts w:ascii="仿宋_GB2312" w:hAnsi="宋体" w:eastAsia="仿宋_GB2312" w:cs="Times New Roman"/>
          <w:sz w:val="24"/>
        </w:rPr>
        <w:t>-</w:t>
      </w:r>
      <w:r>
        <w:rPr>
          <w:rFonts w:hint="eastAsia" w:ascii="仿宋_GB2312" w:hAnsi="宋体" w:eastAsia="仿宋_GB2312" w:cs="Times New Roman"/>
          <w:sz w:val="24"/>
        </w:rPr>
        <w:t>8分，所有志愿服务的加分按照</w:t>
      </w:r>
      <w:r>
        <w:rPr>
          <w:rFonts w:ascii="仿宋_GB2312" w:hAnsi="宋体" w:eastAsia="仿宋_GB2312" w:cs="Times New Roman"/>
          <w:sz w:val="24"/>
        </w:rPr>
        <w:t>所</w:t>
      </w:r>
      <w:r>
        <w:rPr>
          <w:rFonts w:hint="eastAsia" w:ascii="仿宋_GB2312" w:hAnsi="宋体" w:eastAsia="仿宋_GB2312" w:cs="Times New Roman"/>
          <w:sz w:val="24"/>
        </w:rPr>
        <w:t>获</w:t>
      </w:r>
      <w:r>
        <w:rPr>
          <w:rFonts w:ascii="仿宋_GB2312" w:hAnsi="宋体" w:eastAsia="仿宋_GB2312" w:cs="Times New Roman"/>
          <w:sz w:val="24"/>
        </w:rPr>
        <w:t>最高奖项加分</w:t>
      </w:r>
      <w:r>
        <w:rPr>
          <w:rFonts w:hint="eastAsia" w:ascii="仿宋_GB2312" w:hAnsi="宋体" w:eastAsia="仿宋_GB2312" w:cs="Times New Roman"/>
          <w:sz w:val="24"/>
        </w:rPr>
        <w:t>。</w:t>
      </w:r>
    </w:p>
    <w:p>
      <w:pPr>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（5）</w:t>
      </w:r>
      <w:r>
        <w:rPr>
          <w:rFonts w:ascii="仿宋_GB2312" w:hAnsi="宋体" w:eastAsia="仿宋_GB2312" w:cs="Times New Roman"/>
          <w:sz w:val="24"/>
        </w:rPr>
        <w:t>以宿舍为单位获得校级及以上荣誉</w:t>
      </w:r>
      <w:r>
        <w:rPr>
          <w:rFonts w:hint="eastAsia" w:ascii="仿宋_GB2312" w:hAnsi="宋体" w:eastAsia="仿宋_GB2312" w:cs="Times New Roman"/>
          <w:sz w:val="24"/>
        </w:rPr>
        <w:t>，每人次</w:t>
      </w:r>
      <w:r>
        <w:rPr>
          <w:rFonts w:ascii="仿宋_GB2312" w:hAnsi="宋体" w:eastAsia="仿宋_GB2312" w:cs="Times New Roman"/>
          <w:sz w:val="24"/>
        </w:rPr>
        <w:t>酌情加</w:t>
      </w:r>
      <w:r>
        <w:rPr>
          <w:rFonts w:hint="eastAsia" w:ascii="仿宋_GB2312" w:hAnsi="宋体" w:eastAsia="仿宋_GB2312" w:cs="Times New Roman"/>
          <w:sz w:val="24"/>
        </w:rPr>
        <w:t>1</w:t>
      </w:r>
      <w:r>
        <w:rPr>
          <w:rFonts w:ascii="仿宋_GB2312" w:hAnsi="宋体" w:eastAsia="仿宋_GB2312" w:cs="Times New Roman"/>
          <w:sz w:val="24"/>
        </w:rPr>
        <w:t>-5分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w:t>
      </w:r>
      <w:r>
        <w:rPr>
          <w:rFonts w:hint="eastAsia" w:ascii="仿宋_GB2312" w:hAnsi="宋体" w:eastAsia="仿宋_GB2312" w:cs="Times New Roman"/>
          <w:sz w:val="24"/>
          <w:lang w:val="en-US" w:eastAsia="zh-CN"/>
        </w:rPr>
        <w:t>6</w:t>
      </w:r>
      <w:r>
        <w:rPr>
          <w:rFonts w:hint="eastAsia" w:ascii="仿宋_GB2312" w:hAnsi="宋体" w:eastAsia="仿宋_GB2312" w:cs="Times New Roman"/>
          <w:sz w:val="24"/>
        </w:rPr>
        <w:t>）积极参与学院学生工作专项活动星火训练营等，并表现优异，根据情况酌情加0-5分，具体加分由院团委根据营员综合表现统一评定。</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w:t>
      </w:r>
      <w:r>
        <w:rPr>
          <w:rFonts w:hint="eastAsia" w:ascii="仿宋_GB2312" w:hAnsi="宋体" w:eastAsia="仿宋_GB2312" w:cs="Times New Roman"/>
          <w:sz w:val="24"/>
          <w:lang w:val="en-US" w:eastAsia="zh-CN"/>
        </w:rPr>
        <w:t>7</w:t>
      </w:r>
      <w:r>
        <w:rPr>
          <w:rFonts w:hint="eastAsia" w:ascii="仿宋_GB2312" w:hAnsi="宋体" w:eastAsia="仿宋_GB2312" w:cs="Times New Roman"/>
          <w:sz w:val="24"/>
        </w:rPr>
        <w:t>）</w:t>
      </w:r>
      <w:r>
        <w:rPr>
          <w:rFonts w:ascii="仿宋_GB2312" w:hAnsi="宋体" w:eastAsia="仿宋_GB2312" w:cs="Times New Roman"/>
          <w:sz w:val="24"/>
        </w:rPr>
        <w:t>担任学生干部或其它职务，任期满</w:t>
      </w:r>
      <w:r>
        <w:rPr>
          <w:rFonts w:hint="eastAsia" w:ascii="仿宋_GB2312" w:hAnsi="宋体" w:eastAsia="仿宋_GB2312" w:cs="Times New Roman"/>
          <w:sz w:val="24"/>
        </w:rPr>
        <w:t>一</w:t>
      </w:r>
      <w:r>
        <w:rPr>
          <w:rFonts w:ascii="仿宋_GB2312" w:hAnsi="宋体" w:eastAsia="仿宋_GB2312" w:cs="Times New Roman"/>
          <w:sz w:val="24"/>
        </w:rPr>
        <w:t>学年(含，下同)以上，根据其工作表现，按下述标准酌情加分(</w:t>
      </w:r>
      <w:r>
        <w:rPr>
          <w:rFonts w:hint="eastAsia" w:ascii="仿宋_GB2312" w:hAnsi="宋体" w:eastAsia="仿宋_GB2312" w:cs="Times New Roman"/>
          <w:sz w:val="24"/>
          <w:lang w:val="en-US" w:eastAsia="zh-CN"/>
        </w:rPr>
        <w:t>担任多个学生干部职务的，最多可累加2项，第二项职务加分乘上0.5系数后累加</w:t>
      </w:r>
      <w:r>
        <w:rPr>
          <w:rFonts w:ascii="仿宋_GB2312" w:hAnsi="宋体" w:eastAsia="仿宋_GB2312" w:cs="Times New Roman"/>
          <w:sz w:val="24"/>
        </w:rPr>
        <w:t>)</w:t>
      </w:r>
      <w:r>
        <w:rPr>
          <w:rFonts w:hint="eastAsia" w:ascii="仿宋_GB2312" w:hAnsi="宋体" w:eastAsia="仿宋_GB2312" w:cs="Times New Roman"/>
          <w:sz w:val="24"/>
        </w:rPr>
        <w:t>，</w:t>
      </w:r>
      <w:r>
        <w:rPr>
          <w:rFonts w:hint="eastAsia" w:ascii="仿宋_GB2312" w:hAnsi="宋体" w:eastAsia="仿宋_GB2312" w:cs="Times New Roman"/>
          <w:sz w:val="24"/>
          <w:lang w:val="en-US" w:eastAsia="zh-CN"/>
        </w:rPr>
        <w:t>该项</w:t>
      </w:r>
      <w:r>
        <w:rPr>
          <w:rFonts w:ascii="仿宋_GB2312" w:hAnsi="宋体" w:eastAsia="仿宋_GB2312" w:cs="Times New Roman"/>
          <w:sz w:val="24"/>
        </w:rPr>
        <w:t>加分根据日常表现分层次赋分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①</w:t>
      </w:r>
      <w:r>
        <w:rPr>
          <w:rFonts w:ascii="仿宋_GB2312" w:hAnsi="宋体" w:eastAsia="仿宋_GB2312" w:cs="Times New Roman"/>
          <w:sz w:val="24"/>
        </w:rPr>
        <w:t>校</w:t>
      </w:r>
      <w:r>
        <w:rPr>
          <w:rFonts w:hint="eastAsia" w:ascii="仿宋_GB2312" w:hAnsi="宋体" w:eastAsia="仿宋_GB2312" w:cs="Times New Roman"/>
          <w:sz w:val="24"/>
        </w:rPr>
        <w:t>级学生组织及校级学生工作机构</w:t>
      </w:r>
      <w:r>
        <w:rPr>
          <w:rFonts w:ascii="仿宋_GB2312" w:hAnsi="宋体" w:eastAsia="仿宋_GB2312" w:cs="Times New Roman"/>
          <w:sz w:val="24"/>
        </w:rPr>
        <w:t>主席、副主席计0-</w:t>
      </w:r>
      <w:r>
        <w:rPr>
          <w:rFonts w:hint="eastAsia" w:ascii="仿宋_GB2312" w:hAnsi="宋体" w:eastAsia="仿宋_GB2312" w:cs="Times New Roman"/>
          <w:sz w:val="24"/>
        </w:rPr>
        <w:t>12</w:t>
      </w:r>
      <w:r>
        <w:rPr>
          <w:rFonts w:ascii="仿宋_GB2312" w:hAnsi="宋体" w:eastAsia="仿宋_GB2312" w:cs="Times New Roman"/>
          <w:sz w:val="24"/>
        </w:rPr>
        <w:t>分</w:t>
      </w:r>
      <w:r>
        <w:rPr>
          <w:rFonts w:hint="eastAsia" w:ascii="仿宋_GB2312" w:hAnsi="宋体" w:eastAsia="仿宋_GB2312" w:cs="Times New Roman"/>
          <w:sz w:val="24"/>
        </w:rPr>
        <w:t>；</w:t>
      </w:r>
    </w:p>
    <w:p>
      <w:pPr>
        <w:adjustRightInd w:val="0"/>
        <w:snapToGrid w:val="0"/>
        <w:spacing w:line="360" w:lineRule="auto"/>
        <w:ind w:firstLine="720" w:firstLineChars="300"/>
        <w:jc w:val="both"/>
        <w:rPr>
          <w:rFonts w:ascii="仿宋_GB2312" w:hAnsi="宋体" w:eastAsia="仿宋_GB2312" w:cs="Times New Roman"/>
          <w:sz w:val="24"/>
        </w:rPr>
      </w:pPr>
      <w:r>
        <w:rPr>
          <w:rFonts w:hint="eastAsia" w:ascii="仿宋_GB2312" w:hAnsi="宋体" w:eastAsia="仿宋_GB2312" w:cs="Times New Roman"/>
          <w:sz w:val="24"/>
        </w:rPr>
        <w:t>院级学生组织及院级学生工作机构</w:t>
      </w:r>
      <w:r>
        <w:rPr>
          <w:rFonts w:ascii="仿宋_GB2312" w:hAnsi="宋体" w:eastAsia="仿宋_GB2312" w:cs="Times New Roman"/>
          <w:sz w:val="24"/>
        </w:rPr>
        <w:t>主席、副主席计0-</w:t>
      </w:r>
      <w:r>
        <w:rPr>
          <w:rFonts w:hint="eastAsia" w:ascii="仿宋_GB2312" w:hAnsi="宋体" w:eastAsia="仿宋_GB2312" w:cs="Times New Roman"/>
          <w:sz w:val="24"/>
        </w:rPr>
        <w:t>10</w:t>
      </w:r>
      <w:r>
        <w:rPr>
          <w:rFonts w:ascii="仿宋_GB2312" w:hAnsi="宋体" w:eastAsia="仿宋_GB2312" w:cs="Times New Roman"/>
          <w:sz w:val="24"/>
        </w:rPr>
        <w:t>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②</w:t>
      </w:r>
      <w:r>
        <w:rPr>
          <w:rFonts w:ascii="仿宋_GB2312" w:hAnsi="宋体" w:eastAsia="仿宋_GB2312" w:cs="Times New Roman"/>
          <w:sz w:val="24"/>
        </w:rPr>
        <w:t>校</w:t>
      </w:r>
      <w:r>
        <w:rPr>
          <w:rFonts w:hint="eastAsia" w:ascii="仿宋_GB2312" w:hAnsi="宋体" w:eastAsia="仿宋_GB2312" w:cs="Times New Roman"/>
          <w:sz w:val="24"/>
        </w:rPr>
        <w:t>级学生组织及校级学生工作机构部长、副部长</w:t>
      </w:r>
      <w:r>
        <w:rPr>
          <w:rFonts w:ascii="仿宋_GB2312" w:hAnsi="宋体" w:eastAsia="仿宋_GB2312" w:cs="Times New Roman"/>
          <w:sz w:val="24"/>
        </w:rPr>
        <w:t>计0-</w:t>
      </w:r>
      <w:r>
        <w:rPr>
          <w:rFonts w:hint="eastAsia" w:ascii="仿宋_GB2312" w:hAnsi="宋体" w:eastAsia="仿宋_GB2312" w:cs="Times New Roman"/>
          <w:sz w:val="24"/>
        </w:rPr>
        <w:t>10</w:t>
      </w:r>
      <w:r>
        <w:rPr>
          <w:rFonts w:ascii="仿宋_GB2312" w:hAnsi="宋体" w:eastAsia="仿宋_GB2312" w:cs="Times New Roman"/>
          <w:sz w:val="24"/>
        </w:rPr>
        <w:t>分</w:t>
      </w:r>
      <w:r>
        <w:rPr>
          <w:rFonts w:hint="eastAsia" w:ascii="仿宋_GB2312" w:hAnsi="宋体" w:eastAsia="仿宋_GB2312" w:cs="Times New Roman"/>
          <w:sz w:val="24"/>
        </w:rPr>
        <w:t>；</w:t>
      </w:r>
    </w:p>
    <w:p>
      <w:pPr>
        <w:adjustRightInd w:val="0"/>
        <w:snapToGrid w:val="0"/>
        <w:spacing w:line="360" w:lineRule="auto"/>
        <w:ind w:firstLine="720" w:firstLineChars="300"/>
        <w:jc w:val="both"/>
        <w:rPr>
          <w:rFonts w:ascii="仿宋_GB2312" w:hAnsi="宋体" w:eastAsia="仿宋_GB2312" w:cs="Times New Roman"/>
          <w:sz w:val="24"/>
        </w:rPr>
      </w:pPr>
      <w:r>
        <w:rPr>
          <w:rFonts w:hint="eastAsia" w:ascii="仿宋_GB2312" w:hAnsi="宋体" w:eastAsia="仿宋_GB2312" w:cs="Times New Roman"/>
          <w:sz w:val="24"/>
        </w:rPr>
        <w:t>院级学生组织及院级学生工作机构部长、副部长</w:t>
      </w:r>
      <w:r>
        <w:rPr>
          <w:rFonts w:ascii="仿宋_GB2312" w:hAnsi="宋体" w:eastAsia="仿宋_GB2312" w:cs="Times New Roman"/>
          <w:sz w:val="24"/>
        </w:rPr>
        <w:t>计0-</w:t>
      </w:r>
      <w:r>
        <w:rPr>
          <w:rFonts w:hint="eastAsia" w:ascii="仿宋_GB2312" w:hAnsi="宋体" w:eastAsia="仿宋_GB2312" w:cs="Times New Roman"/>
          <w:sz w:val="24"/>
        </w:rPr>
        <w:t>8</w:t>
      </w:r>
      <w:r>
        <w:rPr>
          <w:rFonts w:ascii="仿宋_GB2312" w:hAnsi="宋体" w:eastAsia="仿宋_GB2312" w:cs="Times New Roman"/>
          <w:sz w:val="24"/>
        </w:rPr>
        <w:t>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③</w:t>
      </w:r>
      <w:r>
        <w:rPr>
          <w:rFonts w:ascii="仿宋_GB2312" w:hAnsi="宋体" w:eastAsia="仿宋_GB2312" w:cs="Times New Roman"/>
          <w:sz w:val="24"/>
        </w:rPr>
        <w:t>班长</w:t>
      </w:r>
      <w:r>
        <w:rPr>
          <w:rFonts w:hint="eastAsia" w:ascii="仿宋_GB2312" w:hAnsi="宋体" w:eastAsia="仿宋_GB2312" w:cs="Times New Roman"/>
          <w:sz w:val="24"/>
        </w:rPr>
        <w:t>、</w:t>
      </w:r>
      <w:r>
        <w:rPr>
          <w:rFonts w:ascii="仿宋_GB2312" w:hAnsi="宋体" w:eastAsia="仿宋_GB2312" w:cs="Times New Roman"/>
          <w:sz w:val="24"/>
        </w:rPr>
        <w:t>团支部书记、</w:t>
      </w:r>
      <w:r>
        <w:rPr>
          <w:rFonts w:hint="eastAsia" w:ascii="仿宋_GB2312" w:hAnsi="宋体" w:eastAsia="仿宋_GB2312" w:cs="Times New Roman"/>
          <w:sz w:val="24"/>
        </w:rPr>
        <w:t>党支部书记、</w:t>
      </w:r>
      <w:r>
        <w:rPr>
          <w:rFonts w:ascii="仿宋_GB2312" w:hAnsi="宋体" w:eastAsia="仿宋_GB2312" w:cs="Times New Roman"/>
          <w:sz w:val="24"/>
        </w:rPr>
        <w:t>各学生社团(兴趣类社团除外)的正副职计0-</w:t>
      </w:r>
      <w:r>
        <w:rPr>
          <w:rFonts w:hint="eastAsia" w:ascii="仿宋_GB2312" w:hAnsi="宋体" w:eastAsia="仿宋_GB2312" w:cs="Times New Roman"/>
          <w:sz w:val="24"/>
        </w:rPr>
        <w:t>8</w:t>
      </w:r>
      <w:r>
        <w:rPr>
          <w:rFonts w:ascii="仿宋_GB2312" w:hAnsi="宋体" w:eastAsia="仿宋_GB2312" w:cs="Times New Roman"/>
          <w:sz w:val="24"/>
        </w:rPr>
        <w:t>分</w:t>
      </w:r>
      <w:r>
        <w:rPr>
          <w:rFonts w:hint="eastAsia" w:ascii="仿宋_GB2312" w:hAnsi="宋体" w:eastAsia="仿宋_GB2312" w:cs="Times New Roman"/>
          <w:sz w:val="24"/>
          <w:lang w:val="en-US" w:eastAsia="zh-CN"/>
        </w:rPr>
        <w:t>;</w:t>
      </w:r>
      <w:r>
        <w:rPr>
          <w:rFonts w:hint="eastAsia" w:ascii="仿宋_GB2312" w:hAnsi="宋体" w:eastAsia="仿宋_GB2312" w:cs="Times New Roman"/>
          <w:sz w:val="24"/>
        </w:rPr>
        <w:t>副班长，党支部副书记</w:t>
      </w:r>
      <w:r>
        <w:rPr>
          <w:rFonts w:hint="eastAsia" w:ascii="仿宋_GB2312" w:hAnsi="宋体" w:eastAsia="仿宋_GB2312" w:cs="Times New Roman"/>
          <w:sz w:val="24"/>
          <w:lang w:val="en-US" w:eastAsia="zh-CN"/>
        </w:rPr>
        <w:t>计</w:t>
      </w:r>
      <w:r>
        <w:rPr>
          <w:rFonts w:hint="eastAsia" w:ascii="仿宋_GB2312" w:hAnsi="宋体" w:eastAsia="仿宋_GB2312" w:cs="Times New Roman"/>
          <w:sz w:val="24"/>
        </w:rPr>
        <w:t>0</w:t>
      </w:r>
      <w:r>
        <w:rPr>
          <w:rFonts w:ascii="仿宋_GB2312" w:hAnsi="宋体" w:eastAsia="仿宋_GB2312" w:cs="Times New Roman"/>
          <w:sz w:val="24"/>
        </w:rPr>
        <w:t>-6</w:t>
      </w:r>
      <w:r>
        <w:rPr>
          <w:rFonts w:hint="eastAsia" w:ascii="仿宋_GB2312" w:hAnsi="宋体" w:eastAsia="仿宋_GB2312" w:cs="Times New Roman"/>
          <w:sz w:val="24"/>
          <w:lang w:val="en-US" w:eastAsia="zh-CN"/>
        </w:rPr>
        <w:t>分</w:t>
      </w:r>
      <w:r>
        <w:rPr>
          <w:rFonts w:ascii="仿宋_GB2312" w:hAnsi="宋体" w:eastAsia="仿宋_GB2312" w:cs="Times New Roman"/>
          <w:sz w:val="24"/>
        </w:rPr>
        <w:t>;兴趣类社团正副职加0-2分，一般成员不加分;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④</w:t>
      </w:r>
      <w:r>
        <w:rPr>
          <w:rFonts w:hint="eastAsia" w:ascii="仿宋_GB2312" w:hAnsi="宋体" w:eastAsia="仿宋_GB2312" w:cs="Times New Roman"/>
          <w:sz w:val="24"/>
          <w:lang w:val="en-US" w:eastAsia="zh-CN"/>
        </w:rPr>
        <w:t>其他</w:t>
      </w:r>
      <w:r>
        <w:rPr>
          <w:rFonts w:ascii="仿宋_GB2312" w:hAnsi="宋体" w:eastAsia="仿宋_GB2312" w:cs="Times New Roman"/>
          <w:sz w:val="24"/>
        </w:rPr>
        <w:t>班委、</w:t>
      </w:r>
      <w:r>
        <w:rPr>
          <w:rFonts w:hint="eastAsia" w:ascii="仿宋_GB2312" w:hAnsi="宋体" w:eastAsia="仿宋_GB2312" w:cs="Times New Roman"/>
          <w:sz w:val="24"/>
        </w:rPr>
        <w:t>党支部委员、</w:t>
      </w:r>
      <w:r>
        <w:rPr>
          <w:rFonts w:ascii="仿宋_GB2312" w:hAnsi="宋体" w:eastAsia="仿宋_GB2312" w:cs="Times New Roman"/>
          <w:sz w:val="24"/>
        </w:rPr>
        <w:t>团支部委员计0</w:t>
      </w:r>
      <w:r>
        <w:rPr>
          <w:rFonts w:hint="eastAsia" w:ascii="仿宋_GB2312" w:hAnsi="宋体" w:eastAsia="仿宋_GB2312" w:cs="Times New Roman"/>
          <w:sz w:val="24"/>
        </w:rPr>
        <w:t>-</w:t>
      </w:r>
      <w:r>
        <w:rPr>
          <w:rFonts w:ascii="仿宋_GB2312" w:hAnsi="宋体" w:eastAsia="仿宋_GB2312" w:cs="Times New Roman"/>
          <w:sz w:val="24"/>
        </w:rPr>
        <w:t>4分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⑤</w:t>
      </w:r>
      <w:r>
        <w:rPr>
          <w:rFonts w:ascii="仿宋_GB2312" w:hAnsi="宋体" w:eastAsia="仿宋_GB2312" w:cs="Times New Roman"/>
          <w:sz w:val="24"/>
        </w:rPr>
        <w:t>寝室长加0-2分</w:t>
      </w:r>
      <w:r>
        <w:rPr>
          <w:rFonts w:hint="eastAsia" w:ascii="仿宋_GB2312" w:hAnsi="宋体" w:eastAsia="仿宋_GB2312" w:cs="Times New Roman"/>
          <w:sz w:val="24"/>
        </w:rPr>
        <w:t>；</w:t>
      </w:r>
      <w:r>
        <w:rPr>
          <w:rFonts w:ascii="仿宋_GB2312" w:hAnsi="宋体" w:eastAsia="仿宋_GB2312" w:cs="Times New Roman"/>
          <w:sz w:val="24"/>
        </w:rPr>
        <w:t xml:space="preserve"> </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⑥在服务社会奉献社会方面表现突出；参与重大活动服务保障；参与宣讲；积极为学校事业发展做贡献、参与官方组织的国际交流项目、会议或活动，提升学校影响力和美誉度；担任学校学业辅导员、朋辈辅导员并考核合格；考取专业相关证书等由学院团委进行认定后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⑦凡在学院以外的部门担任</w:t>
      </w:r>
      <w:r>
        <w:rPr>
          <w:rFonts w:hint="eastAsia" w:ascii="仿宋_GB2312" w:hAnsi="宋体" w:eastAsia="仿宋_GB2312" w:cs="Times New Roman"/>
          <w:sz w:val="24"/>
          <w:lang w:val="en-US" w:eastAsia="zh-CN"/>
        </w:rPr>
        <w:t>学生</w:t>
      </w:r>
      <w:r>
        <w:rPr>
          <w:rFonts w:hint="eastAsia" w:ascii="仿宋_GB2312" w:hAnsi="宋体" w:eastAsia="仿宋_GB2312" w:cs="Times New Roman"/>
          <w:sz w:val="24"/>
        </w:rPr>
        <w:t>工作的干部，加分需向班测评小组出示主管部门的证明。</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⑧个人受到</w:t>
      </w:r>
      <w:r>
        <w:rPr>
          <w:rFonts w:ascii="仿宋_GB2312" w:hAnsi="宋体" w:eastAsia="仿宋_GB2312" w:cs="Times New Roman"/>
          <w:sz w:val="24"/>
        </w:rPr>
        <w:t>校级</w:t>
      </w:r>
      <w:r>
        <w:rPr>
          <w:rFonts w:hint="eastAsia" w:ascii="仿宋_GB2312" w:hAnsi="宋体" w:eastAsia="仿宋_GB2312" w:cs="Times New Roman"/>
          <w:sz w:val="24"/>
        </w:rPr>
        <w:t>宣传报道</w:t>
      </w:r>
      <w:r>
        <w:rPr>
          <w:rFonts w:ascii="仿宋_GB2312" w:hAnsi="宋体" w:eastAsia="仿宋_GB2312" w:cs="Times New Roman"/>
          <w:sz w:val="24"/>
        </w:rPr>
        <w:t>，有</w:t>
      </w:r>
      <w:r>
        <w:rPr>
          <w:rFonts w:hint="eastAsia" w:ascii="仿宋_GB2312" w:hAnsi="宋体" w:eastAsia="仿宋_GB2312" w:cs="Times New Roman"/>
          <w:sz w:val="24"/>
        </w:rPr>
        <w:t>一定</w:t>
      </w:r>
      <w:r>
        <w:rPr>
          <w:rFonts w:ascii="仿宋_GB2312" w:hAnsi="宋体" w:eastAsia="仿宋_GB2312" w:cs="Times New Roman"/>
          <w:sz w:val="24"/>
        </w:rPr>
        <w:t>积极影响的，</w:t>
      </w:r>
      <w:r>
        <w:rPr>
          <w:rFonts w:hint="eastAsia" w:ascii="仿宋_GB2312" w:hAnsi="宋体" w:eastAsia="仿宋_GB2312" w:cs="Times New Roman"/>
          <w:sz w:val="24"/>
        </w:rPr>
        <w:t>视其影响程度，</w:t>
      </w:r>
      <w:r>
        <w:rPr>
          <w:rFonts w:ascii="仿宋_GB2312" w:hAnsi="宋体" w:eastAsia="仿宋_GB2312" w:cs="Times New Roman"/>
          <w:sz w:val="24"/>
        </w:rPr>
        <w:t>每人每次加</w:t>
      </w:r>
      <w:r>
        <w:rPr>
          <w:rFonts w:hint="eastAsia" w:ascii="仿宋_GB2312" w:hAnsi="宋体" w:eastAsia="仿宋_GB2312" w:cs="Times New Roman"/>
          <w:sz w:val="24"/>
        </w:rPr>
        <w:t>0</w:t>
      </w:r>
      <w:r>
        <w:rPr>
          <w:rFonts w:ascii="仿宋_GB2312" w:hAnsi="宋体" w:eastAsia="仿宋_GB2312" w:cs="Times New Roman"/>
          <w:sz w:val="24"/>
        </w:rPr>
        <w:t>-5</w:t>
      </w:r>
      <w:r>
        <w:rPr>
          <w:rFonts w:hint="eastAsia" w:ascii="仿宋_GB2312" w:hAnsi="宋体" w:eastAsia="仿宋_GB2312" w:cs="Times New Roman"/>
          <w:sz w:val="24"/>
        </w:rPr>
        <w:t>分；</w:t>
      </w:r>
      <w:r>
        <w:rPr>
          <w:rFonts w:ascii="仿宋_GB2312" w:hAnsi="宋体" w:eastAsia="仿宋_GB2312" w:cs="Times New Roman"/>
          <w:sz w:val="24"/>
        </w:rPr>
        <w:t>获校外媒体报道的</w:t>
      </w:r>
      <w:r>
        <w:rPr>
          <w:rFonts w:hint="eastAsia" w:ascii="仿宋_GB2312" w:hAnsi="宋体" w:eastAsia="仿宋_GB2312" w:cs="Times New Roman"/>
          <w:sz w:val="24"/>
        </w:rPr>
        <w:t>，</w:t>
      </w:r>
      <w:r>
        <w:rPr>
          <w:rFonts w:ascii="仿宋_GB2312" w:hAnsi="宋体" w:eastAsia="仿宋_GB2312" w:cs="Times New Roman"/>
          <w:sz w:val="24"/>
        </w:rPr>
        <w:t>一次加</w:t>
      </w:r>
      <w:r>
        <w:rPr>
          <w:rFonts w:hint="eastAsia" w:ascii="仿宋_GB2312" w:hAnsi="宋体" w:eastAsia="仿宋_GB2312" w:cs="Times New Roman"/>
          <w:sz w:val="24"/>
        </w:rPr>
        <w:t>0</w:t>
      </w:r>
      <w:r>
        <w:rPr>
          <w:rFonts w:ascii="仿宋_GB2312" w:hAnsi="宋体" w:eastAsia="仿宋_GB2312" w:cs="Times New Roman"/>
          <w:sz w:val="24"/>
        </w:rPr>
        <w:t>-10</w:t>
      </w:r>
      <w:r>
        <w:rPr>
          <w:rFonts w:hint="eastAsia" w:ascii="仿宋_GB2312" w:hAnsi="宋体" w:eastAsia="仿宋_GB2312" w:cs="Times New Roman"/>
          <w:sz w:val="24"/>
        </w:rPr>
        <w:t>分。</w:t>
      </w:r>
      <w:r>
        <w:rPr>
          <w:rFonts w:ascii="仿宋_GB2312" w:hAnsi="宋体" w:eastAsia="仿宋_GB2312" w:cs="Times New Roman"/>
          <w:sz w:val="24"/>
        </w:rPr>
        <w:t>以</w:t>
      </w:r>
      <w:r>
        <w:rPr>
          <w:rFonts w:hint="eastAsia" w:ascii="仿宋_GB2312" w:hAnsi="宋体" w:eastAsia="仿宋_GB2312" w:cs="Times New Roman"/>
          <w:sz w:val="24"/>
          <w:lang w:val="en-US" w:eastAsia="zh-CN"/>
        </w:rPr>
        <w:t>集体</w:t>
      </w:r>
      <w:r>
        <w:rPr>
          <w:rFonts w:ascii="仿宋_GB2312" w:hAnsi="宋体" w:eastAsia="仿宋_GB2312" w:cs="Times New Roman"/>
          <w:sz w:val="24"/>
        </w:rPr>
        <w:t>为单位，相关活动</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除社会实践）</w:t>
      </w:r>
      <w:r>
        <w:rPr>
          <w:rFonts w:hint="eastAsia" w:ascii="仿宋_GB2312" w:hAnsi="宋体" w:eastAsia="仿宋_GB2312" w:cs="Times New Roman"/>
          <w:sz w:val="24"/>
        </w:rPr>
        <w:t>受到</w:t>
      </w:r>
      <w:r>
        <w:rPr>
          <w:rFonts w:ascii="仿宋_GB2312" w:hAnsi="宋体" w:eastAsia="仿宋_GB2312" w:cs="Times New Roman"/>
          <w:sz w:val="24"/>
        </w:rPr>
        <w:t>校级</w:t>
      </w:r>
      <w:r>
        <w:rPr>
          <w:rFonts w:hint="eastAsia" w:ascii="仿宋_GB2312" w:hAnsi="宋体" w:eastAsia="仿宋_GB2312" w:cs="Times New Roman"/>
          <w:sz w:val="24"/>
        </w:rPr>
        <w:t>宣传报道</w:t>
      </w:r>
      <w:r>
        <w:rPr>
          <w:rFonts w:ascii="仿宋_GB2312" w:hAnsi="宋体" w:eastAsia="仿宋_GB2312" w:cs="Times New Roman"/>
          <w:sz w:val="24"/>
        </w:rPr>
        <w:t>，有</w:t>
      </w:r>
      <w:r>
        <w:rPr>
          <w:rFonts w:hint="eastAsia" w:ascii="仿宋_GB2312" w:hAnsi="宋体" w:eastAsia="仿宋_GB2312" w:cs="Times New Roman"/>
          <w:sz w:val="24"/>
        </w:rPr>
        <w:t>一定</w:t>
      </w:r>
      <w:r>
        <w:rPr>
          <w:rFonts w:ascii="仿宋_GB2312" w:hAnsi="宋体" w:eastAsia="仿宋_GB2312" w:cs="Times New Roman"/>
          <w:sz w:val="24"/>
        </w:rPr>
        <w:t>积极影响的，</w:t>
      </w:r>
      <w:r>
        <w:rPr>
          <w:rFonts w:hint="eastAsia" w:ascii="仿宋_GB2312" w:hAnsi="宋体" w:eastAsia="仿宋_GB2312" w:cs="Times New Roman"/>
          <w:sz w:val="24"/>
        </w:rPr>
        <w:t>视其影响程度，</w:t>
      </w:r>
      <w:r>
        <w:rPr>
          <w:rFonts w:ascii="仿宋_GB2312" w:hAnsi="宋体" w:eastAsia="仿宋_GB2312" w:cs="Times New Roman"/>
          <w:sz w:val="24"/>
        </w:rPr>
        <w:t>每人每次加</w:t>
      </w:r>
      <w:r>
        <w:rPr>
          <w:rFonts w:hint="eastAsia" w:ascii="仿宋_GB2312" w:hAnsi="宋体" w:eastAsia="仿宋_GB2312" w:cs="Times New Roman"/>
          <w:sz w:val="24"/>
        </w:rPr>
        <w:t>0</w:t>
      </w:r>
      <w:r>
        <w:rPr>
          <w:rFonts w:ascii="仿宋_GB2312" w:hAnsi="宋体" w:eastAsia="仿宋_GB2312" w:cs="Times New Roman"/>
          <w:sz w:val="24"/>
        </w:rPr>
        <w:t>-</w:t>
      </w:r>
      <w:r>
        <w:rPr>
          <w:rFonts w:hint="eastAsia" w:ascii="仿宋_GB2312" w:hAnsi="宋体" w:eastAsia="仿宋_GB2312" w:cs="Times New Roman"/>
          <w:sz w:val="24"/>
        </w:rPr>
        <w:t>2分；</w:t>
      </w:r>
      <w:r>
        <w:rPr>
          <w:rFonts w:ascii="仿宋_GB2312" w:hAnsi="宋体" w:eastAsia="仿宋_GB2312" w:cs="Times New Roman"/>
          <w:sz w:val="24"/>
        </w:rPr>
        <w:t>获校外媒体报道的</w:t>
      </w:r>
      <w:r>
        <w:rPr>
          <w:rFonts w:hint="eastAsia" w:ascii="仿宋_GB2312" w:hAnsi="宋体" w:eastAsia="仿宋_GB2312" w:cs="Times New Roman"/>
          <w:sz w:val="24"/>
        </w:rPr>
        <w:t>，视其影响程度，每人每次</w:t>
      </w:r>
      <w:r>
        <w:rPr>
          <w:rFonts w:ascii="仿宋_GB2312" w:hAnsi="宋体" w:eastAsia="仿宋_GB2312" w:cs="Times New Roman"/>
          <w:sz w:val="24"/>
        </w:rPr>
        <w:t>加</w:t>
      </w:r>
      <w:r>
        <w:rPr>
          <w:rFonts w:hint="eastAsia" w:ascii="仿宋_GB2312" w:hAnsi="宋体" w:eastAsia="仿宋_GB2312" w:cs="Times New Roman"/>
          <w:sz w:val="24"/>
        </w:rPr>
        <w:t>0</w:t>
      </w:r>
      <w:r>
        <w:rPr>
          <w:rFonts w:ascii="仿宋_GB2312" w:hAnsi="宋体" w:eastAsia="仿宋_GB2312" w:cs="Times New Roman"/>
          <w:sz w:val="24"/>
        </w:rPr>
        <w:t>-</w:t>
      </w:r>
      <w:r>
        <w:rPr>
          <w:rFonts w:hint="eastAsia" w:ascii="仿宋_GB2312" w:hAnsi="宋体" w:eastAsia="仿宋_GB2312" w:cs="Times New Roman"/>
          <w:sz w:val="24"/>
        </w:rPr>
        <w:t>5分。具体加分根据媒体公信力和事件影响力由学院综合测评小组共同评定。依照报道等级班级同学分级加分，具体加分与分级由学院综合测评小组共同评定</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赋分依据如下</w:t>
      </w:r>
      <w:r>
        <w:rPr>
          <w:rFonts w:hint="eastAsia" w:ascii="仿宋_GB2312" w:hAnsi="宋体" w:eastAsia="仿宋_GB2312" w:cs="Times New Roman"/>
          <w:sz w:val="24"/>
        </w:rPr>
        <w:t>。</w:t>
      </w:r>
    </w:p>
    <w:tbl>
      <w:tblPr>
        <w:tblStyle w:val="14"/>
        <w:tblW w:w="82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6"/>
        <w:gridCol w:w="1690"/>
        <w:gridCol w:w="2530"/>
        <w:gridCol w:w="16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3" w:hRule="atLeast"/>
        </w:trPr>
        <w:tc>
          <w:tcPr>
            <w:tcW w:w="2346" w:type="dxa"/>
            <w:vMerge w:val="restart"/>
            <w:vAlign w:val="top"/>
          </w:tcPr>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rPr>
              <w:t>积极表现加</w:t>
            </w:r>
            <w:r>
              <w:rPr>
                <w:rFonts w:hint="eastAsia" w:ascii="方正仿宋_GB2312" w:hAnsi="方正仿宋_GB2312" w:eastAsia="方正仿宋_GB2312" w:cs="方正仿宋_GB2312"/>
                <w:spacing w:val="-2"/>
                <w:sz w:val="24"/>
                <w:szCs w:val="24"/>
                <w:lang w:val="en-US" w:eastAsia="zh-CN"/>
              </w:rPr>
              <w:t>分</w:t>
            </w:r>
          </w:p>
          <w:p>
            <w:pPr>
              <w:spacing w:before="179" w:line="218"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（经相关职能部门或学院认定）</w:t>
            </w:r>
          </w:p>
          <w:p>
            <w:pPr>
              <w:spacing w:before="179" w:line="218" w:lineRule="auto"/>
              <w:jc w:val="both"/>
              <w:rPr>
                <w:rFonts w:hint="eastAsia" w:ascii="方正仿宋_GB2312" w:hAnsi="方正仿宋_GB2312" w:eastAsia="方正仿宋_GB2312" w:cs="方正仿宋_GB2312"/>
                <w:spacing w:val="-2"/>
                <w:sz w:val="24"/>
                <w:szCs w:val="24"/>
                <w:lang w:val="en-US" w:eastAsia="zh-CN"/>
              </w:rPr>
            </w:pPr>
          </w:p>
        </w:tc>
        <w:tc>
          <w:tcPr>
            <w:tcW w:w="1690" w:type="dxa"/>
            <w:vMerge w:val="restart"/>
            <w:vAlign w:val="top"/>
          </w:tcPr>
          <w:p>
            <w:pPr>
              <w:spacing w:before="179" w:line="233" w:lineRule="auto"/>
              <w:ind w:left="118" w:right="107"/>
              <w:jc w:val="both"/>
              <w:rPr>
                <w:rFonts w:hint="eastAsia" w:ascii="方正仿宋_GB2312" w:hAnsi="方正仿宋_GB2312" w:eastAsia="方正仿宋_GB2312" w:cs="方正仿宋_GB2312"/>
                <w:spacing w:val="-2"/>
                <w:sz w:val="24"/>
                <w:szCs w:val="24"/>
              </w:rPr>
            </w:pPr>
          </w:p>
          <w:p>
            <w:pPr>
              <w:spacing w:before="179" w:line="233" w:lineRule="auto"/>
              <w:ind w:left="118" w:right="107"/>
              <w:jc w:val="both"/>
              <w:rPr>
                <w:rFonts w:hint="eastAsia" w:ascii="方正仿宋_GB2312" w:hAnsi="方正仿宋_GB2312" w:eastAsia="方正仿宋_GB2312" w:cs="方正仿宋_GB2312"/>
                <w:spacing w:val="-2"/>
                <w:sz w:val="24"/>
                <w:szCs w:val="24"/>
              </w:rPr>
            </w:pPr>
          </w:p>
          <w:p>
            <w:pPr>
              <w:spacing w:before="179" w:line="233" w:lineRule="auto"/>
              <w:ind w:left="118" w:right="107"/>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2"/>
                <w:sz w:val="24"/>
                <w:szCs w:val="24"/>
              </w:rPr>
              <w:t>在服务社会奉献社会方面表现突出</w:t>
            </w:r>
          </w:p>
        </w:tc>
        <w:tc>
          <w:tcPr>
            <w:tcW w:w="2530" w:type="dxa"/>
            <w:vAlign w:val="top"/>
          </w:tcPr>
          <w:p>
            <w:pPr>
              <w:pStyle w:val="15"/>
              <w:spacing w:before="36" w:line="219" w:lineRule="auto"/>
              <w:ind w:left="121"/>
              <w:jc w:val="both"/>
              <w:rPr>
                <w:rFonts w:hint="eastAsia" w:ascii="方正仿宋_GB2312" w:hAnsi="方正仿宋_GB2312" w:eastAsia="方正仿宋_GB2312" w:cs="方正仿宋_GB2312"/>
                <w:spacing w:val="-6"/>
                <w:sz w:val="24"/>
                <w:szCs w:val="24"/>
              </w:rPr>
            </w:pPr>
          </w:p>
          <w:p>
            <w:pPr>
              <w:pStyle w:val="15"/>
              <w:spacing w:before="36" w:line="219" w:lineRule="auto"/>
              <w:ind w:left="121"/>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6"/>
                <w:sz w:val="24"/>
                <w:szCs w:val="24"/>
              </w:rPr>
              <w:t>事迹特别突出、有重大影响的（如获见义勇为荣誉</w:t>
            </w:r>
            <w:r>
              <w:rPr>
                <w:rFonts w:hint="eastAsia" w:ascii="方正仿宋_GB2312" w:hAnsi="方正仿宋_GB2312" w:eastAsia="方正仿宋_GB2312" w:cs="方正仿宋_GB2312"/>
                <w:spacing w:val="-1"/>
                <w:sz w:val="24"/>
                <w:szCs w:val="24"/>
              </w:rPr>
              <w:t>称号、捐献造血干细胞</w:t>
            </w:r>
            <w:r>
              <w:rPr>
                <w:rFonts w:hint="eastAsia" w:ascii="方正仿宋_GB2312" w:hAnsi="方正仿宋_GB2312" w:eastAsia="方正仿宋_GB2312" w:cs="方正仿宋_GB2312"/>
                <w:spacing w:val="5"/>
                <w:sz w:val="24"/>
                <w:szCs w:val="24"/>
              </w:rPr>
              <w:t>等）</w:t>
            </w:r>
          </w:p>
        </w:tc>
        <w:tc>
          <w:tcPr>
            <w:tcW w:w="1650" w:type="dxa"/>
            <w:vAlign w:val="top"/>
          </w:tcPr>
          <w:p>
            <w:pPr>
              <w:spacing w:line="418" w:lineRule="auto"/>
              <w:jc w:val="both"/>
              <w:rPr>
                <w:rFonts w:hint="eastAsia" w:ascii="方正仿宋_GB2312" w:hAnsi="方正仿宋_GB2312" w:eastAsia="方正仿宋_GB2312" w:cs="方正仿宋_GB2312"/>
                <w:sz w:val="24"/>
                <w:szCs w:val="24"/>
              </w:rPr>
            </w:pPr>
          </w:p>
          <w:p>
            <w:pPr>
              <w:spacing w:before="72" w:line="182" w:lineRule="auto"/>
              <w:ind w:left="737"/>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13"/>
                <w:sz w:val="24"/>
                <w:szCs w:val="24"/>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both"/>
              <w:rPr>
                <w:rFonts w:hint="eastAsia" w:ascii="方正仿宋_GB2312" w:hAnsi="方正仿宋_GB2312" w:eastAsia="方正仿宋_GB2312" w:cs="方正仿宋_GB2312"/>
                <w:spacing w:val="-2"/>
                <w:sz w:val="24"/>
                <w:szCs w:val="24"/>
              </w:rPr>
            </w:pPr>
          </w:p>
        </w:tc>
        <w:tc>
          <w:tcPr>
            <w:tcW w:w="2530" w:type="dxa"/>
            <w:vAlign w:val="top"/>
          </w:tcPr>
          <w:p>
            <w:pPr>
              <w:pStyle w:val="15"/>
              <w:spacing w:before="36" w:line="229" w:lineRule="auto"/>
              <w:ind w:left="121" w:leftChars="0" w:right="54" w:rightChars="0"/>
              <w:jc w:val="both"/>
              <w:rPr>
                <w:rFonts w:hint="eastAsia" w:ascii="方正仿宋_GB2312" w:hAnsi="方正仿宋_GB2312" w:eastAsia="方正仿宋_GB2312" w:cs="方正仿宋_GB2312"/>
                <w:spacing w:val="-6"/>
                <w:sz w:val="24"/>
                <w:szCs w:val="24"/>
              </w:rPr>
            </w:pPr>
          </w:p>
          <w:p>
            <w:pPr>
              <w:pStyle w:val="15"/>
              <w:spacing w:before="36" w:line="229" w:lineRule="auto"/>
              <w:ind w:left="121" w:leftChars="0" w:right="54" w:rightChars="0"/>
              <w:jc w:val="both"/>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6"/>
                <w:sz w:val="24"/>
                <w:szCs w:val="24"/>
              </w:rPr>
              <w:t>事迹突出、有较大影响的</w:t>
            </w:r>
            <w:r>
              <w:rPr>
                <w:rFonts w:hint="eastAsia" w:ascii="方正仿宋_GB2312" w:hAnsi="方正仿宋_GB2312" w:eastAsia="方正仿宋_GB2312" w:cs="方正仿宋_GB2312"/>
                <w:spacing w:val="-6"/>
                <w:sz w:val="24"/>
                <w:szCs w:val="24"/>
                <w:lang w:eastAsia="zh-CN"/>
              </w:rPr>
              <w:t>（</w:t>
            </w:r>
            <w:r>
              <w:rPr>
                <w:rFonts w:hint="eastAsia" w:ascii="方正仿宋_GB2312" w:hAnsi="方正仿宋_GB2312" w:eastAsia="方正仿宋_GB2312" w:cs="方正仿宋_GB2312"/>
                <w:spacing w:val="7"/>
                <w:sz w:val="24"/>
                <w:szCs w:val="24"/>
              </w:rPr>
              <w:t>如在抢险救灾等应急</w:t>
            </w:r>
            <w:r>
              <w:rPr>
                <w:rFonts w:hint="eastAsia" w:ascii="方正仿宋_GB2312" w:hAnsi="方正仿宋_GB2312" w:eastAsia="方正仿宋_GB2312" w:cs="方正仿宋_GB2312"/>
                <w:spacing w:val="-2"/>
                <w:sz w:val="24"/>
                <w:szCs w:val="24"/>
              </w:rPr>
              <w:t>事件处置中表现突出等）</w:t>
            </w:r>
          </w:p>
        </w:tc>
        <w:tc>
          <w:tcPr>
            <w:tcW w:w="1650" w:type="dxa"/>
            <w:vAlign w:val="top"/>
          </w:tcPr>
          <w:p>
            <w:pPr>
              <w:spacing w:line="276" w:lineRule="auto"/>
              <w:jc w:val="both"/>
              <w:rPr>
                <w:rFonts w:hint="eastAsia" w:ascii="方正仿宋_GB2312" w:hAnsi="方正仿宋_GB2312" w:eastAsia="方正仿宋_GB2312" w:cs="方正仿宋_GB2312"/>
                <w:sz w:val="24"/>
                <w:szCs w:val="24"/>
              </w:rPr>
            </w:pPr>
          </w:p>
          <w:p>
            <w:pPr>
              <w:spacing w:before="71" w:line="182" w:lineRule="auto"/>
              <w:ind w:left="734" w:leftChars="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11"/>
                <w:sz w:val="24"/>
                <w:szCs w:val="24"/>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both"/>
              <w:rPr>
                <w:rFonts w:hint="eastAsia" w:ascii="方正仿宋_GB2312" w:hAnsi="方正仿宋_GB2312" w:eastAsia="方正仿宋_GB2312" w:cs="方正仿宋_GB2312"/>
                <w:spacing w:val="-2"/>
                <w:sz w:val="24"/>
                <w:szCs w:val="24"/>
              </w:rPr>
            </w:pPr>
          </w:p>
        </w:tc>
        <w:tc>
          <w:tcPr>
            <w:tcW w:w="2530" w:type="dxa"/>
            <w:vAlign w:val="top"/>
          </w:tcPr>
          <w:p>
            <w:pPr>
              <w:pStyle w:val="15"/>
              <w:spacing w:before="30" w:line="219" w:lineRule="auto"/>
              <w:jc w:val="both"/>
              <w:rPr>
                <w:rFonts w:hint="eastAsia" w:ascii="方正仿宋_GB2312" w:hAnsi="方正仿宋_GB2312" w:eastAsia="方正仿宋_GB2312" w:cs="方正仿宋_GB2312"/>
                <w:spacing w:val="-6"/>
                <w:sz w:val="24"/>
                <w:szCs w:val="24"/>
              </w:rPr>
            </w:pPr>
          </w:p>
          <w:p>
            <w:pPr>
              <w:pStyle w:val="15"/>
              <w:spacing w:before="30" w:line="219" w:lineRule="auto"/>
              <w:jc w:val="both"/>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6"/>
                <w:sz w:val="24"/>
                <w:szCs w:val="24"/>
              </w:rPr>
              <w:t>事迹比较突出、有一定影响的（如拾金不昧、无偿</w:t>
            </w:r>
            <w:r>
              <w:rPr>
                <w:rFonts w:hint="eastAsia" w:ascii="方正仿宋_GB2312" w:hAnsi="方正仿宋_GB2312" w:eastAsia="方正仿宋_GB2312" w:cs="方正仿宋_GB2312"/>
                <w:spacing w:val="-4"/>
                <w:sz w:val="24"/>
                <w:szCs w:val="24"/>
              </w:rPr>
              <w:t>献血等）</w:t>
            </w:r>
          </w:p>
        </w:tc>
        <w:tc>
          <w:tcPr>
            <w:tcW w:w="1650" w:type="dxa"/>
            <w:vAlign w:val="top"/>
          </w:tcPr>
          <w:p>
            <w:pPr>
              <w:spacing w:line="276" w:lineRule="auto"/>
              <w:jc w:val="both"/>
              <w:rPr>
                <w:rFonts w:hint="eastAsia" w:ascii="方正仿宋_GB2312" w:hAnsi="方正仿宋_GB2312" w:eastAsia="方正仿宋_GB2312" w:cs="方正仿宋_GB2312"/>
                <w:sz w:val="24"/>
                <w:szCs w:val="24"/>
              </w:rPr>
            </w:pPr>
          </w:p>
          <w:p>
            <w:pPr>
              <w:spacing w:before="71" w:line="179" w:lineRule="auto"/>
              <w:ind w:left="786" w:leftChars="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2"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restart"/>
            <w:vAlign w:val="top"/>
          </w:tcPr>
          <w:p>
            <w:pPr>
              <w:keepNext w:val="0"/>
              <w:keepLines w:val="0"/>
              <w:pageBreakBefore w:val="0"/>
              <w:widowControl w:val="0"/>
              <w:kinsoku/>
              <w:wordWrap/>
              <w:overflowPunct/>
              <w:topLinePunct w:val="0"/>
              <w:autoSpaceDE/>
              <w:autoSpaceDN/>
              <w:bidi w:val="0"/>
              <w:adjustRightInd/>
              <w:snapToGrid/>
              <w:spacing w:before="59" w:line="240" w:lineRule="auto"/>
              <w:ind w:left="119" w:right="108"/>
              <w:jc w:val="both"/>
              <w:textAlignment w:val="auto"/>
              <w:rPr>
                <w:rFonts w:hint="eastAsia" w:ascii="方正仿宋_GB2312" w:hAnsi="方正仿宋_GB2312" w:eastAsia="方正仿宋_GB2312" w:cs="方正仿宋_GB2312"/>
                <w:spacing w:val="-3"/>
                <w:sz w:val="24"/>
                <w:szCs w:val="24"/>
              </w:rPr>
            </w:pPr>
          </w:p>
          <w:p>
            <w:pPr>
              <w:keepNext w:val="0"/>
              <w:keepLines w:val="0"/>
              <w:pageBreakBefore w:val="0"/>
              <w:widowControl w:val="0"/>
              <w:kinsoku/>
              <w:wordWrap/>
              <w:overflowPunct/>
              <w:topLinePunct w:val="0"/>
              <w:autoSpaceDE/>
              <w:autoSpaceDN/>
              <w:bidi w:val="0"/>
              <w:adjustRightInd/>
              <w:snapToGrid/>
              <w:spacing w:before="59" w:line="240" w:lineRule="auto"/>
              <w:ind w:left="119" w:right="108"/>
              <w:jc w:val="both"/>
              <w:textAlignment w:val="auto"/>
              <w:rPr>
                <w:rFonts w:hint="eastAsia" w:ascii="方正仿宋_GB2312" w:hAnsi="方正仿宋_GB2312" w:eastAsia="方正仿宋_GB2312" w:cs="方正仿宋_GB2312"/>
                <w:spacing w:val="-3"/>
                <w:sz w:val="24"/>
                <w:szCs w:val="24"/>
              </w:rPr>
            </w:pPr>
          </w:p>
          <w:p>
            <w:pPr>
              <w:keepNext w:val="0"/>
              <w:keepLines w:val="0"/>
              <w:pageBreakBefore w:val="0"/>
              <w:widowControl w:val="0"/>
              <w:kinsoku/>
              <w:wordWrap/>
              <w:overflowPunct/>
              <w:topLinePunct w:val="0"/>
              <w:autoSpaceDE/>
              <w:autoSpaceDN/>
              <w:bidi w:val="0"/>
              <w:adjustRightInd/>
              <w:snapToGrid/>
              <w:spacing w:before="59" w:line="240" w:lineRule="auto"/>
              <w:ind w:left="119" w:right="108"/>
              <w:jc w:val="both"/>
              <w:textAlignment w:val="auto"/>
              <w:rPr>
                <w:rFonts w:hint="eastAsia" w:ascii="方正仿宋_GB2312" w:hAnsi="方正仿宋_GB2312" w:eastAsia="方正仿宋_GB2312" w:cs="方正仿宋_GB2312"/>
                <w:spacing w:val="-2"/>
                <w:sz w:val="24"/>
                <w:szCs w:val="24"/>
              </w:rPr>
            </w:pPr>
            <w:r>
              <w:rPr>
                <w:rFonts w:hint="eastAsia" w:ascii="方正仿宋_GB2312" w:hAnsi="方正仿宋_GB2312" w:eastAsia="方正仿宋_GB2312" w:cs="方正仿宋_GB2312"/>
                <w:spacing w:val="-3"/>
                <w:sz w:val="24"/>
                <w:szCs w:val="24"/>
              </w:rPr>
              <w:t>参与重大活</w:t>
            </w:r>
            <w:r>
              <w:rPr>
                <w:rFonts w:hint="eastAsia" w:ascii="方正仿宋_GB2312" w:hAnsi="方正仿宋_GB2312" w:eastAsia="方正仿宋_GB2312" w:cs="方正仿宋_GB2312"/>
                <w:spacing w:val="-4"/>
                <w:sz w:val="24"/>
                <w:szCs w:val="24"/>
              </w:rPr>
              <w:t>动服务保障</w:t>
            </w:r>
          </w:p>
        </w:tc>
        <w:tc>
          <w:tcPr>
            <w:tcW w:w="2530" w:type="dxa"/>
            <w:vAlign w:val="top"/>
          </w:tcPr>
          <w:p>
            <w:pPr>
              <w:spacing w:before="121" w:line="219" w:lineRule="auto"/>
              <w:jc w:val="center"/>
              <w:rPr>
                <w:rFonts w:hint="eastAsia" w:ascii="方正仿宋_GB2312" w:hAnsi="方正仿宋_GB2312" w:eastAsia="方正仿宋_GB2312" w:cs="方正仿宋_GB2312"/>
                <w:spacing w:val="-9"/>
                <w:sz w:val="24"/>
                <w:szCs w:val="24"/>
              </w:rPr>
            </w:pPr>
          </w:p>
          <w:p>
            <w:pPr>
              <w:spacing w:before="121" w:line="219" w:lineRule="auto"/>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9"/>
                <w:sz w:val="24"/>
                <w:szCs w:val="24"/>
              </w:rPr>
              <w:t>国家级</w:t>
            </w:r>
          </w:p>
        </w:tc>
        <w:tc>
          <w:tcPr>
            <w:tcW w:w="1650" w:type="dxa"/>
            <w:vAlign w:val="top"/>
          </w:tcPr>
          <w:p>
            <w:pPr>
              <w:spacing w:before="150" w:line="182" w:lineRule="auto"/>
              <w:jc w:val="both"/>
              <w:rPr>
                <w:rFonts w:hint="eastAsia" w:ascii="方正仿宋_GB2312" w:hAnsi="方正仿宋_GB2312" w:eastAsia="方正仿宋_GB2312" w:cs="方正仿宋_GB2312"/>
                <w:spacing w:val="-11"/>
                <w:sz w:val="24"/>
                <w:szCs w:val="24"/>
              </w:rPr>
            </w:pPr>
          </w:p>
          <w:p>
            <w:pPr>
              <w:spacing w:before="150" w:line="182" w:lineRule="auto"/>
              <w:ind w:firstLine="654" w:firstLineChars="3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11"/>
                <w:sz w:val="24"/>
                <w:szCs w:val="24"/>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both"/>
              <w:rPr>
                <w:rFonts w:hint="eastAsia" w:ascii="方正仿宋_GB2312" w:hAnsi="方正仿宋_GB2312" w:eastAsia="方正仿宋_GB2312" w:cs="方正仿宋_GB2312"/>
                <w:spacing w:val="-2"/>
                <w:sz w:val="24"/>
                <w:szCs w:val="24"/>
              </w:rPr>
            </w:pPr>
          </w:p>
        </w:tc>
        <w:tc>
          <w:tcPr>
            <w:tcW w:w="2530" w:type="dxa"/>
            <w:vAlign w:val="top"/>
          </w:tcPr>
          <w:p>
            <w:pPr>
              <w:pStyle w:val="15"/>
              <w:spacing w:before="32" w:line="208" w:lineRule="auto"/>
              <w:jc w:val="center"/>
              <w:rPr>
                <w:rFonts w:hint="eastAsia" w:ascii="方正仿宋_GB2312" w:hAnsi="方正仿宋_GB2312" w:eastAsia="方正仿宋_GB2312" w:cs="方正仿宋_GB2312"/>
                <w:spacing w:val="-4"/>
                <w:sz w:val="24"/>
                <w:szCs w:val="24"/>
              </w:rPr>
            </w:pPr>
          </w:p>
          <w:p>
            <w:pPr>
              <w:pStyle w:val="15"/>
              <w:spacing w:before="32" w:line="208" w:lineRule="auto"/>
              <w:jc w:val="center"/>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4"/>
                <w:sz w:val="24"/>
                <w:szCs w:val="24"/>
              </w:rPr>
              <w:t>省部级</w:t>
            </w:r>
          </w:p>
        </w:tc>
        <w:tc>
          <w:tcPr>
            <w:tcW w:w="1650" w:type="dxa"/>
            <w:vAlign w:val="top"/>
          </w:tcPr>
          <w:p>
            <w:pPr>
              <w:spacing w:before="61" w:line="182" w:lineRule="auto"/>
              <w:jc w:val="both"/>
              <w:rPr>
                <w:rFonts w:hint="eastAsia" w:ascii="方正仿宋_GB2312" w:hAnsi="方正仿宋_GB2312" w:eastAsia="方正仿宋_GB2312" w:cs="方正仿宋_GB2312"/>
                <w:sz w:val="24"/>
                <w:szCs w:val="24"/>
              </w:rPr>
            </w:pPr>
          </w:p>
          <w:p>
            <w:pPr>
              <w:spacing w:before="61" w:line="182" w:lineRule="auto"/>
              <w:ind w:firstLine="720" w:firstLineChars="3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restart"/>
            <w:vAlign w:val="top"/>
          </w:tcPr>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ind w:left="675"/>
              <w:jc w:val="both"/>
              <w:rPr>
                <w:rFonts w:hint="eastAsia" w:ascii="方正仿宋_GB2312" w:hAnsi="方正仿宋_GB2312" w:eastAsia="方正仿宋_GB2312" w:cs="方正仿宋_GB2312"/>
                <w:spacing w:val="-2"/>
                <w:sz w:val="24"/>
                <w:szCs w:val="24"/>
              </w:rPr>
            </w:pPr>
          </w:p>
          <w:p>
            <w:pPr>
              <w:spacing w:before="179" w:line="218" w:lineRule="auto"/>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rPr>
              <w:t>积极表现加</w:t>
            </w:r>
            <w:r>
              <w:rPr>
                <w:rFonts w:hint="eastAsia" w:ascii="方正仿宋_GB2312" w:hAnsi="方正仿宋_GB2312" w:eastAsia="方正仿宋_GB2312" w:cs="方正仿宋_GB2312"/>
                <w:spacing w:val="-2"/>
                <w:sz w:val="24"/>
                <w:szCs w:val="24"/>
                <w:lang w:val="en-US" w:eastAsia="zh-CN"/>
              </w:rPr>
              <w:t>分</w:t>
            </w:r>
          </w:p>
          <w:p>
            <w:pPr>
              <w:spacing w:before="179" w:line="218" w:lineRule="auto"/>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（经相关职能部门或学院认定）</w:t>
            </w:r>
          </w:p>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restart"/>
            <w:vAlign w:val="top"/>
          </w:tcPr>
          <w:p>
            <w:pPr>
              <w:spacing w:before="179" w:line="233" w:lineRule="auto"/>
              <w:ind w:left="118" w:right="107"/>
              <w:jc w:val="center"/>
              <w:rPr>
                <w:rFonts w:hint="eastAsia" w:ascii="方正仿宋_GB2312" w:hAnsi="方正仿宋_GB2312" w:eastAsia="方正仿宋_GB2312" w:cs="方正仿宋_GB2312"/>
                <w:spacing w:val="-4"/>
                <w:sz w:val="24"/>
                <w:szCs w:val="24"/>
              </w:rPr>
            </w:pPr>
          </w:p>
          <w:p>
            <w:pPr>
              <w:spacing w:before="179" w:line="233" w:lineRule="auto"/>
              <w:ind w:left="118" w:right="107"/>
              <w:jc w:val="center"/>
              <w:rPr>
                <w:rFonts w:hint="eastAsia" w:ascii="方正仿宋_GB2312" w:hAnsi="方正仿宋_GB2312" w:eastAsia="方正仿宋_GB2312" w:cs="方正仿宋_GB2312"/>
                <w:spacing w:val="-4"/>
                <w:sz w:val="24"/>
                <w:szCs w:val="24"/>
              </w:rPr>
            </w:pPr>
          </w:p>
          <w:p>
            <w:pPr>
              <w:spacing w:before="179" w:line="233" w:lineRule="auto"/>
              <w:ind w:left="118" w:right="107"/>
              <w:jc w:val="center"/>
              <w:rPr>
                <w:rFonts w:hint="eastAsia" w:ascii="方正仿宋_GB2312" w:hAnsi="方正仿宋_GB2312" w:eastAsia="方正仿宋_GB2312" w:cs="方正仿宋_GB2312"/>
                <w:spacing w:val="-4"/>
                <w:sz w:val="24"/>
                <w:szCs w:val="24"/>
              </w:rPr>
            </w:pPr>
          </w:p>
          <w:p>
            <w:pPr>
              <w:spacing w:before="179" w:line="233" w:lineRule="auto"/>
              <w:ind w:left="118" w:right="107"/>
              <w:jc w:val="center"/>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pacing w:val="-4"/>
                <w:sz w:val="24"/>
                <w:szCs w:val="24"/>
              </w:rPr>
              <w:t>参与宣讲</w:t>
            </w:r>
          </w:p>
        </w:tc>
        <w:tc>
          <w:tcPr>
            <w:tcW w:w="2530" w:type="dxa"/>
            <w:vAlign w:val="top"/>
          </w:tcPr>
          <w:p>
            <w:pPr>
              <w:spacing w:before="35" w:line="206" w:lineRule="auto"/>
              <w:jc w:val="center"/>
              <w:rPr>
                <w:rFonts w:hint="eastAsia" w:ascii="方正仿宋_GB2312" w:hAnsi="方正仿宋_GB2312" w:eastAsia="方正仿宋_GB2312" w:cs="方正仿宋_GB2312"/>
                <w:spacing w:val="-9"/>
                <w:sz w:val="24"/>
                <w:szCs w:val="24"/>
              </w:rPr>
            </w:pPr>
          </w:p>
          <w:p>
            <w:pPr>
              <w:spacing w:before="35" w:line="206" w:lineRule="auto"/>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9"/>
                <w:sz w:val="24"/>
                <w:szCs w:val="24"/>
              </w:rPr>
              <w:t>国家级</w:t>
            </w:r>
          </w:p>
        </w:tc>
        <w:tc>
          <w:tcPr>
            <w:tcW w:w="1650" w:type="dxa"/>
            <w:vAlign w:val="top"/>
          </w:tcPr>
          <w:p>
            <w:pPr>
              <w:spacing w:before="64" w:line="182" w:lineRule="auto"/>
              <w:jc w:val="both"/>
              <w:rPr>
                <w:rFonts w:hint="eastAsia" w:ascii="方正仿宋_GB2312" w:hAnsi="方正仿宋_GB2312" w:eastAsia="方正仿宋_GB2312" w:cs="方正仿宋_GB2312"/>
                <w:sz w:val="24"/>
                <w:szCs w:val="24"/>
              </w:rPr>
            </w:pPr>
          </w:p>
          <w:p>
            <w:pPr>
              <w:spacing w:before="64" w:line="182" w:lineRule="auto"/>
              <w:ind w:firstLine="720" w:firstLineChars="3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center"/>
              <w:rPr>
                <w:rFonts w:hint="eastAsia" w:ascii="方正仿宋_GB2312" w:hAnsi="方正仿宋_GB2312" w:eastAsia="方正仿宋_GB2312" w:cs="方正仿宋_GB2312"/>
                <w:spacing w:val="-2"/>
                <w:sz w:val="24"/>
                <w:szCs w:val="24"/>
              </w:rPr>
            </w:pPr>
          </w:p>
        </w:tc>
        <w:tc>
          <w:tcPr>
            <w:tcW w:w="2530" w:type="dxa"/>
            <w:vAlign w:val="top"/>
          </w:tcPr>
          <w:p>
            <w:pPr>
              <w:pStyle w:val="15"/>
              <w:spacing w:before="34" w:line="206" w:lineRule="auto"/>
              <w:jc w:val="center"/>
              <w:rPr>
                <w:rFonts w:hint="eastAsia" w:ascii="方正仿宋_GB2312" w:hAnsi="方正仿宋_GB2312" w:eastAsia="方正仿宋_GB2312" w:cs="方正仿宋_GB2312"/>
                <w:spacing w:val="-4"/>
                <w:sz w:val="24"/>
                <w:szCs w:val="24"/>
              </w:rPr>
            </w:pPr>
          </w:p>
          <w:p>
            <w:pPr>
              <w:pStyle w:val="15"/>
              <w:spacing w:before="34" w:line="206" w:lineRule="auto"/>
              <w:jc w:val="center"/>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4"/>
                <w:sz w:val="24"/>
                <w:szCs w:val="24"/>
              </w:rPr>
              <w:t>省部级</w:t>
            </w:r>
          </w:p>
        </w:tc>
        <w:tc>
          <w:tcPr>
            <w:tcW w:w="1650" w:type="dxa"/>
            <w:vAlign w:val="top"/>
          </w:tcPr>
          <w:p>
            <w:pPr>
              <w:spacing w:before="63" w:line="182" w:lineRule="auto"/>
              <w:jc w:val="both"/>
              <w:rPr>
                <w:rFonts w:hint="eastAsia" w:ascii="方正仿宋_GB2312" w:hAnsi="方正仿宋_GB2312" w:eastAsia="方正仿宋_GB2312" w:cs="方正仿宋_GB2312"/>
                <w:sz w:val="24"/>
                <w:szCs w:val="24"/>
              </w:rPr>
            </w:pPr>
          </w:p>
          <w:p>
            <w:pPr>
              <w:spacing w:before="63" w:line="182" w:lineRule="auto"/>
              <w:ind w:firstLine="720" w:firstLineChars="3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center"/>
              <w:rPr>
                <w:rFonts w:hint="eastAsia" w:ascii="方正仿宋_GB2312" w:hAnsi="方正仿宋_GB2312" w:eastAsia="方正仿宋_GB2312" w:cs="方正仿宋_GB2312"/>
                <w:spacing w:val="-2"/>
                <w:sz w:val="24"/>
                <w:szCs w:val="24"/>
              </w:rPr>
            </w:pPr>
          </w:p>
        </w:tc>
        <w:tc>
          <w:tcPr>
            <w:tcW w:w="2530" w:type="dxa"/>
            <w:vAlign w:val="top"/>
          </w:tcPr>
          <w:p>
            <w:pPr>
              <w:spacing w:before="33" w:line="207" w:lineRule="auto"/>
              <w:jc w:val="center"/>
              <w:rPr>
                <w:rFonts w:hint="eastAsia" w:ascii="方正仿宋_GB2312" w:hAnsi="方正仿宋_GB2312" w:eastAsia="方正仿宋_GB2312" w:cs="方正仿宋_GB2312"/>
                <w:spacing w:val="-5"/>
                <w:sz w:val="24"/>
                <w:szCs w:val="24"/>
              </w:rPr>
            </w:pPr>
          </w:p>
          <w:p>
            <w:pPr>
              <w:spacing w:before="33" w:line="207" w:lineRule="auto"/>
              <w:jc w:val="center"/>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5"/>
                <w:sz w:val="24"/>
                <w:szCs w:val="24"/>
              </w:rPr>
              <w:t>校级</w:t>
            </w:r>
          </w:p>
        </w:tc>
        <w:tc>
          <w:tcPr>
            <w:tcW w:w="1650" w:type="dxa"/>
            <w:vAlign w:val="top"/>
          </w:tcPr>
          <w:p>
            <w:pPr>
              <w:spacing w:before="60" w:line="197" w:lineRule="auto"/>
              <w:ind w:left="764" w:leftChars="0"/>
              <w:jc w:val="both"/>
              <w:rPr>
                <w:rFonts w:hint="eastAsia" w:ascii="方正仿宋_GB2312" w:hAnsi="方正仿宋_GB2312" w:eastAsia="方正仿宋_GB2312" w:cs="方正仿宋_GB2312"/>
                <w:sz w:val="24"/>
                <w:szCs w:val="24"/>
              </w:rPr>
            </w:pPr>
          </w:p>
          <w:p>
            <w:pPr>
              <w:spacing w:before="60" w:line="197" w:lineRule="auto"/>
              <w:ind w:firstLine="720" w:firstLineChars="3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restart"/>
            <w:vAlign w:val="top"/>
          </w:tcPr>
          <w:p>
            <w:pPr>
              <w:spacing w:before="23" w:line="219" w:lineRule="auto"/>
              <w:ind w:left="124"/>
              <w:jc w:val="center"/>
              <w:rPr>
                <w:rFonts w:hint="eastAsia" w:ascii="方正仿宋_GB2312" w:hAnsi="方正仿宋_GB2312" w:eastAsia="方正仿宋_GB2312" w:cs="方正仿宋_GB2312"/>
                <w:spacing w:val="-2"/>
                <w:sz w:val="24"/>
                <w:szCs w:val="24"/>
                <w:lang w:val="en-US" w:eastAsia="zh-CN"/>
              </w:rPr>
            </w:pPr>
          </w:p>
          <w:p>
            <w:pPr>
              <w:spacing w:before="23" w:line="219" w:lineRule="auto"/>
              <w:ind w:left="124"/>
              <w:jc w:val="center"/>
              <w:rPr>
                <w:rFonts w:hint="eastAsia" w:ascii="方正仿宋_GB2312" w:hAnsi="方正仿宋_GB2312" w:eastAsia="方正仿宋_GB2312" w:cs="方正仿宋_GB2312"/>
                <w:spacing w:val="-2"/>
                <w:sz w:val="24"/>
                <w:szCs w:val="24"/>
                <w:lang w:val="en-US" w:eastAsia="zh-CN"/>
              </w:rPr>
            </w:pPr>
          </w:p>
          <w:p>
            <w:pPr>
              <w:spacing w:before="23" w:line="219" w:lineRule="auto"/>
              <w:ind w:left="124"/>
              <w:jc w:val="center"/>
              <w:rPr>
                <w:rFonts w:hint="eastAsia" w:ascii="方正仿宋_GB2312" w:hAnsi="方正仿宋_GB2312" w:eastAsia="方正仿宋_GB2312" w:cs="方正仿宋_GB2312"/>
                <w:spacing w:val="-2"/>
                <w:sz w:val="24"/>
                <w:szCs w:val="24"/>
                <w:lang w:val="en-US" w:eastAsia="zh-CN"/>
              </w:rPr>
            </w:pPr>
          </w:p>
          <w:p>
            <w:pPr>
              <w:spacing w:before="23" w:line="219" w:lineRule="auto"/>
              <w:ind w:left="124"/>
              <w:jc w:val="center"/>
              <w:rPr>
                <w:rFonts w:hint="eastAsia"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积极为学校</w:t>
            </w:r>
          </w:p>
          <w:p>
            <w:pPr>
              <w:spacing w:before="23" w:line="219" w:lineRule="auto"/>
              <w:ind w:left="124"/>
              <w:jc w:val="center"/>
              <w:rPr>
                <w:rFonts w:hint="default" w:ascii="方正仿宋_GB2312" w:hAnsi="方正仿宋_GB2312" w:eastAsia="方正仿宋_GB2312" w:cs="方正仿宋_GB2312"/>
                <w:spacing w:val="-2"/>
                <w:sz w:val="24"/>
                <w:szCs w:val="24"/>
                <w:lang w:val="en-US" w:eastAsia="zh-CN"/>
              </w:rPr>
            </w:pPr>
            <w:r>
              <w:rPr>
                <w:rFonts w:hint="eastAsia" w:ascii="方正仿宋_GB2312" w:hAnsi="方正仿宋_GB2312" w:eastAsia="方正仿宋_GB2312" w:cs="方正仿宋_GB2312"/>
                <w:spacing w:val="-2"/>
                <w:sz w:val="24"/>
                <w:szCs w:val="24"/>
                <w:lang w:val="en-US" w:eastAsia="zh-CN"/>
              </w:rPr>
              <w:t>发展做贡献</w:t>
            </w:r>
          </w:p>
        </w:tc>
        <w:tc>
          <w:tcPr>
            <w:tcW w:w="2530" w:type="dxa"/>
            <w:vAlign w:val="top"/>
          </w:tcPr>
          <w:p>
            <w:pPr>
              <w:pStyle w:val="15"/>
              <w:spacing w:before="34" w:line="206" w:lineRule="auto"/>
              <w:jc w:val="center"/>
              <w:rPr>
                <w:rFonts w:hint="eastAsia" w:ascii="方正仿宋_GB2312" w:hAnsi="方正仿宋_GB2312" w:eastAsia="方正仿宋_GB2312" w:cs="方正仿宋_GB2312"/>
                <w:spacing w:val="-2"/>
                <w:sz w:val="24"/>
                <w:szCs w:val="24"/>
              </w:rPr>
            </w:pPr>
          </w:p>
          <w:p>
            <w:pPr>
              <w:pStyle w:val="15"/>
              <w:spacing w:before="34" w:line="206" w:lineRule="auto"/>
              <w:jc w:val="center"/>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2"/>
                <w:sz w:val="24"/>
                <w:szCs w:val="24"/>
              </w:rPr>
              <w:t>积极建言献策被采纳</w:t>
            </w:r>
          </w:p>
        </w:tc>
        <w:tc>
          <w:tcPr>
            <w:tcW w:w="1650" w:type="dxa"/>
            <w:vAlign w:val="top"/>
          </w:tcPr>
          <w:p>
            <w:pPr>
              <w:spacing w:before="64" w:line="180" w:lineRule="auto"/>
              <w:ind w:left="784" w:leftChars="0"/>
              <w:jc w:val="center"/>
              <w:rPr>
                <w:rFonts w:hint="eastAsia" w:ascii="方正仿宋_GB2312" w:hAnsi="方正仿宋_GB2312" w:eastAsia="方正仿宋_GB2312" w:cs="方正仿宋_GB2312"/>
                <w:sz w:val="24"/>
                <w:szCs w:val="24"/>
              </w:rPr>
            </w:pPr>
          </w:p>
          <w:p>
            <w:pPr>
              <w:spacing w:before="64" w:line="180" w:lineRule="auto"/>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1690" w:type="dxa"/>
            <w:vMerge w:val="continue"/>
            <w:vAlign w:val="top"/>
          </w:tcPr>
          <w:p>
            <w:pPr>
              <w:spacing w:before="179" w:line="233" w:lineRule="auto"/>
              <w:ind w:left="118" w:right="107"/>
              <w:jc w:val="center"/>
              <w:rPr>
                <w:rFonts w:hint="eastAsia" w:ascii="方正仿宋_GB2312" w:hAnsi="方正仿宋_GB2312" w:eastAsia="方正仿宋_GB2312" w:cs="方正仿宋_GB2312"/>
                <w:spacing w:val="-2"/>
                <w:sz w:val="24"/>
                <w:szCs w:val="24"/>
              </w:rPr>
            </w:pPr>
          </w:p>
        </w:tc>
        <w:tc>
          <w:tcPr>
            <w:tcW w:w="2530" w:type="dxa"/>
            <w:vAlign w:val="top"/>
          </w:tcPr>
          <w:p>
            <w:pPr>
              <w:pStyle w:val="15"/>
              <w:spacing w:before="35" w:line="232" w:lineRule="auto"/>
              <w:ind w:right="125" w:rightChars="0"/>
              <w:jc w:val="center"/>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1"/>
                <w:sz w:val="24"/>
                <w:szCs w:val="24"/>
              </w:rPr>
              <w:t>发现校园内安全隐患并</w:t>
            </w:r>
            <w:r>
              <w:rPr>
                <w:rFonts w:hint="eastAsia" w:ascii="方正仿宋_GB2312" w:hAnsi="方正仿宋_GB2312" w:eastAsia="方正仿宋_GB2312" w:cs="方正仿宋_GB2312"/>
                <w:spacing w:val="1"/>
                <w:sz w:val="24"/>
                <w:szCs w:val="24"/>
              </w:rPr>
              <w:t xml:space="preserve"> </w:t>
            </w:r>
            <w:r>
              <w:rPr>
                <w:rFonts w:hint="eastAsia" w:ascii="方正仿宋_GB2312" w:hAnsi="方正仿宋_GB2312" w:eastAsia="方正仿宋_GB2312" w:cs="方正仿宋_GB2312"/>
                <w:spacing w:val="-3"/>
                <w:sz w:val="24"/>
                <w:szCs w:val="24"/>
              </w:rPr>
              <w:t>及时拨打保卫处</w:t>
            </w:r>
            <w:r>
              <w:rPr>
                <w:rFonts w:hint="eastAsia" w:ascii="方正仿宋_GB2312" w:hAnsi="方正仿宋_GB2312" w:eastAsia="方正仿宋_GB2312" w:cs="方正仿宋_GB2312"/>
                <w:spacing w:val="-29"/>
                <w:sz w:val="24"/>
                <w:szCs w:val="24"/>
              </w:rPr>
              <w:t xml:space="preserve"> </w:t>
            </w:r>
            <w:r>
              <w:rPr>
                <w:rFonts w:hint="eastAsia" w:ascii="方正仿宋_GB2312" w:hAnsi="方正仿宋_GB2312" w:eastAsia="方正仿宋_GB2312" w:cs="方正仿宋_GB2312"/>
                <w:spacing w:val="-3"/>
                <w:sz w:val="24"/>
                <w:szCs w:val="24"/>
              </w:rPr>
              <w:t>24 小值班电话（89733333）</w:t>
            </w:r>
            <w:r>
              <w:rPr>
                <w:rFonts w:hint="eastAsia" w:ascii="方正仿宋_GB2312" w:hAnsi="方正仿宋_GB2312" w:eastAsia="方正仿宋_GB2312" w:cs="方正仿宋_GB2312"/>
                <w:spacing w:val="-7"/>
                <w:sz w:val="24"/>
                <w:szCs w:val="24"/>
              </w:rPr>
              <w:t>上报</w:t>
            </w:r>
          </w:p>
        </w:tc>
        <w:tc>
          <w:tcPr>
            <w:tcW w:w="1650" w:type="dxa"/>
            <w:vAlign w:val="top"/>
          </w:tcPr>
          <w:p>
            <w:pPr>
              <w:spacing w:line="417" w:lineRule="auto"/>
              <w:jc w:val="center"/>
              <w:rPr>
                <w:rFonts w:hint="eastAsia" w:ascii="方正仿宋_GB2312" w:hAnsi="方正仿宋_GB2312" w:eastAsia="方正仿宋_GB2312" w:cs="方正仿宋_GB2312"/>
                <w:sz w:val="24"/>
                <w:szCs w:val="24"/>
              </w:rPr>
            </w:pPr>
          </w:p>
          <w:p>
            <w:pPr>
              <w:spacing w:before="72" w:line="180" w:lineRule="auto"/>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4220" w:type="dxa"/>
            <w:gridSpan w:val="2"/>
            <w:vAlign w:val="top"/>
          </w:tcPr>
          <w:p>
            <w:pPr>
              <w:pStyle w:val="15"/>
              <w:spacing w:before="32" w:line="223" w:lineRule="auto"/>
              <w:ind w:left="433" w:leftChars="0" w:right="104" w:rightChars="0" w:hanging="317" w:firstLineChars="0"/>
              <w:jc w:val="both"/>
              <w:rPr>
                <w:rFonts w:hint="eastAsia" w:ascii="方正仿宋_GB2312" w:hAnsi="方正仿宋_GB2312" w:eastAsia="方正仿宋_GB2312" w:cs="方正仿宋_GB2312"/>
                <w:spacing w:val="-4"/>
                <w:sz w:val="24"/>
                <w:szCs w:val="24"/>
                <w:lang w:val="en-US" w:eastAsia="zh-CN"/>
              </w:rPr>
            </w:pPr>
          </w:p>
          <w:p>
            <w:pPr>
              <w:pStyle w:val="15"/>
              <w:spacing w:before="32" w:line="223" w:lineRule="auto"/>
              <w:ind w:left="433" w:leftChars="0" w:right="104" w:rightChars="0" w:hanging="317" w:firstLineChars="0"/>
              <w:jc w:val="both"/>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4"/>
                <w:sz w:val="24"/>
                <w:szCs w:val="24"/>
                <w:lang w:val="en-US" w:eastAsia="zh-CN"/>
              </w:rPr>
              <w:t>参加官方组织的国际交流项目、会议或活动，提升学校影响力和美誉度</w:t>
            </w:r>
          </w:p>
        </w:tc>
        <w:tc>
          <w:tcPr>
            <w:tcW w:w="1650"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4220" w:type="dxa"/>
            <w:gridSpan w:val="2"/>
            <w:vAlign w:val="top"/>
          </w:tcPr>
          <w:p>
            <w:pPr>
              <w:pStyle w:val="15"/>
              <w:spacing w:before="35" w:line="222" w:lineRule="auto"/>
              <w:ind w:left="1630" w:leftChars="0" w:right="101" w:rightChars="0" w:hanging="1515" w:firstLineChars="0"/>
              <w:jc w:val="both"/>
              <w:rPr>
                <w:rFonts w:hint="eastAsia" w:ascii="方正仿宋_GB2312" w:hAnsi="方正仿宋_GB2312" w:eastAsia="方正仿宋_GB2312" w:cs="方正仿宋_GB2312"/>
                <w:spacing w:val="-4"/>
                <w:sz w:val="24"/>
                <w:szCs w:val="24"/>
              </w:rPr>
            </w:pPr>
          </w:p>
          <w:p>
            <w:pPr>
              <w:pStyle w:val="15"/>
              <w:spacing w:before="35" w:line="222" w:lineRule="auto"/>
              <w:ind w:left="1630" w:leftChars="0" w:right="101" w:rightChars="0" w:hanging="1515" w:firstLineChars="0"/>
              <w:jc w:val="both"/>
              <w:rPr>
                <w:rFonts w:hint="eastAsia" w:ascii="方正仿宋_GB2312" w:hAnsi="方正仿宋_GB2312" w:eastAsia="方正仿宋_GB2312" w:cs="方正仿宋_GB2312"/>
                <w:kern w:val="2"/>
                <w:sz w:val="24"/>
                <w:szCs w:val="24"/>
                <w:lang w:val="en-US" w:eastAsia="en-US" w:bidi="ar-SA"/>
              </w:rPr>
            </w:pPr>
            <w:r>
              <w:rPr>
                <w:rFonts w:hint="eastAsia" w:ascii="方正仿宋_GB2312" w:hAnsi="方正仿宋_GB2312" w:eastAsia="方正仿宋_GB2312" w:cs="方正仿宋_GB2312"/>
                <w:spacing w:val="-4"/>
                <w:sz w:val="24"/>
                <w:szCs w:val="24"/>
              </w:rPr>
              <w:t>担任学校学业辅导员、朋辈辅导员并考</w:t>
            </w:r>
            <w:r>
              <w:rPr>
                <w:rFonts w:hint="eastAsia" w:ascii="方正仿宋_GB2312" w:hAnsi="方正仿宋_GB2312" w:eastAsia="方正仿宋_GB2312" w:cs="方正仿宋_GB2312"/>
                <w:spacing w:val="-2"/>
                <w:sz w:val="24"/>
                <w:szCs w:val="24"/>
              </w:rPr>
              <w:t>核合格</w:t>
            </w:r>
          </w:p>
        </w:tc>
        <w:tc>
          <w:tcPr>
            <w:tcW w:w="1650"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2346" w:type="dxa"/>
            <w:vMerge w:val="continue"/>
            <w:vAlign w:val="top"/>
          </w:tcPr>
          <w:p>
            <w:pPr>
              <w:spacing w:before="24" w:line="231" w:lineRule="auto"/>
              <w:ind w:left="1007" w:right="114" w:hanging="891"/>
              <w:jc w:val="both"/>
              <w:rPr>
                <w:rFonts w:hint="eastAsia" w:ascii="方正仿宋_GB2312" w:hAnsi="方正仿宋_GB2312" w:eastAsia="方正仿宋_GB2312" w:cs="方正仿宋_GB2312"/>
                <w:sz w:val="24"/>
                <w:szCs w:val="24"/>
              </w:rPr>
            </w:pPr>
          </w:p>
        </w:tc>
        <w:tc>
          <w:tcPr>
            <w:tcW w:w="4220" w:type="dxa"/>
            <w:gridSpan w:val="2"/>
            <w:vAlign w:val="top"/>
          </w:tcPr>
          <w:p>
            <w:pPr>
              <w:spacing w:before="37" w:line="207" w:lineRule="auto"/>
              <w:ind w:left="1079" w:leftChars="0"/>
              <w:jc w:val="both"/>
              <w:rPr>
                <w:rFonts w:hint="eastAsia" w:ascii="方正仿宋_GB2312" w:hAnsi="方正仿宋_GB2312" w:eastAsia="方正仿宋_GB2312" w:cs="方正仿宋_GB2312"/>
                <w:spacing w:val="-1"/>
                <w:sz w:val="24"/>
                <w:szCs w:val="24"/>
              </w:rPr>
            </w:pPr>
          </w:p>
          <w:p>
            <w:pPr>
              <w:spacing w:before="37" w:line="207" w:lineRule="auto"/>
              <w:ind w:left="1079" w:leftChars="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pacing w:val="-1"/>
                <w:sz w:val="24"/>
                <w:szCs w:val="24"/>
              </w:rPr>
              <w:t>考取专业相关证书</w:t>
            </w:r>
          </w:p>
        </w:tc>
        <w:tc>
          <w:tcPr>
            <w:tcW w:w="1650" w:type="dxa"/>
            <w:vAlign w:val="top"/>
          </w:tcPr>
          <w:p>
            <w:pPr>
              <w:spacing w:before="65" w:line="240" w:lineRule="auto"/>
              <w:jc w:val="center"/>
              <w:rPr>
                <w:rFonts w:hint="eastAsia" w:ascii="方正仿宋_GB2312" w:hAnsi="方正仿宋_GB2312" w:eastAsia="方正仿宋_GB2312" w:cs="方正仿宋_GB2312"/>
                <w:sz w:val="24"/>
                <w:szCs w:val="24"/>
              </w:rPr>
            </w:pPr>
          </w:p>
          <w:p>
            <w:pPr>
              <w:spacing w:before="65" w:line="240" w:lineRule="auto"/>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sz w:val="24"/>
                <w:szCs w:val="24"/>
              </w:rPr>
              <w:t>2</w:t>
            </w:r>
          </w:p>
        </w:tc>
      </w:tr>
    </w:tbl>
    <w:p>
      <w:pPr>
        <w:adjustRightInd w:val="0"/>
        <w:snapToGrid w:val="0"/>
        <w:spacing w:line="360" w:lineRule="auto"/>
        <w:ind w:firstLine="480" w:firstLineChars="200"/>
        <w:jc w:val="both"/>
        <w:rPr>
          <w:rFonts w:hint="eastAsia" w:ascii="仿宋_GB2312" w:hAnsi="宋体" w:eastAsia="仿宋_GB2312" w:cs="Times New Roman"/>
          <w:sz w:val="24"/>
        </w:rPr>
      </w:pP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⑨学习强国</w:t>
      </w:r>
      <w:r>
        <w:rPr>
          <w:rFonts w:ascii="仿宋_GB2312" w:hAnsi="宋体" w:eastAsia="仿宋_GB2312" w:cs="Times New Roman"/>
          <w:sz w:val="24"/>
        </w:rPr>
        <w:t>积分梯度加分。</w:t>
      </w:r>
      <w:r>
        <w:rPr>
          <w:rFonts w:hint="eastAsia" w:ascii="仿宋_GB2312" w:hAnsi="宋体" w:eastAsia="仿宋_GB2312" w:cs="Times New Roman"/>
          <w:sz w:val="24"/>
        </w:rPr>
        <w:t>学年内累计积分达到</w:t>
      </w:r>
      <w:r>
        <w:rPr>
          <w:rFonts w:ascii="仿宋_GB2312" w:hAnsi="宋体" w:eastAsia="仿宋_GB2312" w:cs="Times New Roman"/>
          <w:sz w:val="24"/>
        </w:rPr>
        <w:t>9</w:t>
      </w:r>
      <w:r>
        <w:rPr>
          <w:rFonts w:hint="eastAsia" w:ascii="仿宋_GB2312" w:hAnsi="宋体" w:eastAsia="仿宋_GB2312" w:cs="Times New Roman"/>
          <w:sz w:val="24"/>
        </w:rPr>
        <w:t>000分，</w:t>
      </w:r>
      <w:r>
        <w:rPr>
          <w:rFonts w:ascii="仿宋_GB2312" w:hAnsi="宋体" w:eastAsia="仿宋_GB2312" w:cs="Times New Roman"/>
          <w:sz w:val="24"/>
        </w:rPr>
        <w:t>加</w:t>
      </w:r>
      <w:r>
        <w:rPr>
          <w:rFonts w:hint="eastAsia" w:ascii="仿宋_GB2312" w:hAnsi="宋体" w:eastAsia="仿宋_GB2312" w:cs="Times New Roman"/>
          <w:sz w:val="24"/>
          <w:lang w:val="en-US" w:eastAsia="zh-CN"/>
        </w:rPr>
        <w:t>1</w:t>
      </w:r>
      <w:r>
        <w:rPr>
          <w:rFonts w:hint="eastAsia" w:ascii="仿宋_GB2312" w:hAnsi="宋体" w:eastAsia="仿宋_GB2312" w:cs="Times New Roman"/>
          <w:sz w:val="24"/>
        </w:rPr>
        <w:t>分；达到1</w:t>
      </w:r>
      <w:r>
        <w:rPr>
          <w:rFonts w:ascii="仿宋_GB2312" w:hAnsi="宋体" w:eastAsia="仿宋_GB2312" w:cs="Times New Roman"/>
          <w:sz w:val="24"/>
        </w:rPr>
        <w:t>2</w:t>
      </w:r>
      <w:r>
        <w:rPr>
          <w:rFonts w:hint="eastAsia" w:ascii="仿宋_GB2312" w:hAnsi="宋体" w:eastAsia="仿宋_GB2312" w:cs="Times New Roman"/>
          <w:sz w:val="24"/>
        </w:rPr>
        <w:t>000分</w:t>
      </w:r>
      <w:r>
        <w:rPr>
          <w:rFonts w:ascii="仿宋_GB2312" w:hAnsi="宋体" w:eastAsia="仿宋_GB2312" w:cs="Times New Roman"/>
          <w:sz w:val="24"/>
        </w:rPr>
        <w:t>，加</w:t>
      </w:r>
      <w:r>
        <w:rPr>
          <w:rFonts w:hint="eastAsia" w:ascii="仿宋_GB2312" w:hAnsi="宋体" w:eastAsia="仿宋_GB2312" w:cs="Times New Roman"/>
          <w:sz w:val="24"/>
          <w:lang w:val="en-US" w:eastAsia="zh-CN"/>
        </w:rPr>
        <w:t>2</w:t>
      </w:r>
      <w:r>
        <w:rPr>
          <w:rFonts w:hint="eastAsia" w:ascii="仿宋_GB2312" w:hAnsi="宋体" w:eastAsia="仿宋_GB2312" w:cs="Times New Roman"/>
          <w:sz w:val="24"/>
        </w:rPr>
        <w:t>分；达到1</w:t>
      </w:r>
      <w:r>
        <w:rPr>
          <w:rFonts w:ascii="仿宋_GB2312" w:hAnsi="宋体" w:eastAsia="仿宋_GB2312" w:cs="Times New Roman"/>
          <w:sz w:val="24"/>
        </w:rPr>
        <w:t>5</w:t>
      </w:r>
      <w:r>
        <w:rPr>
          <w:rFonts w:hint="eastAsia" w:ascii="仿宋_GB2312" w:hAnsi="宋体" w:eastAsia="仿宋_GB2312" w:cs="Times New Roman"/>
          <w:sz w:val="24"/>
        </w:rPr>
        <w:t>000分</w:t>
      </w:r>
      <w:r>
        <w:rPr>
          <w:rFonts w:ascii="仿宋_GB2312" w:hAnsi="宋体" w:eastAsia="仿宋_GB2312" w:cs="Times New Roman"/>
          <w:sz w:val="24"/>
        </w:rPr>
        <w:t>，加</w:t>
      </w:r>
      <w:r>
        <w:rPr>
          <w:rFonts w:hint="eastAsia" w:ascii="仿宋_GB2312" w:hAnsi="宋体" w:eastAsia="仿宋_GB2312" w:cs="Times New Roman"/>
          <w:sz w:val="24"/>
          <w:lang w:val="en-US" w:eastAsia="zh-CN"/>
        </w:rPr>
        <w:t>4</w:t>
      </w:r>
      <w:r>
        <w:rPr>
          <w:rFonts w:hint="eastAsia" w:ascii="仿宋_GB2312" w:hAnsi="宋体" w:eastAsia="仿宋_GB2312" w:cs="Times New Roman"/>
          <w:sz w:val="24"/>
        </w:rPr>
        <w:t>分；达到</w:t>
      </w:r>
      <w:r>
        <w:rPr>
          <w:rFonts w:ascii="仿宋_GB2312" w:hAnsi="宋体" w:eastAsia="仿宋_GB2312" w:cs="Times New Roman"/>
          <w:sz w:val="24"/>
        </w:rPr>
        <w:t>18</w:t>
      </w:r>
      <w:r>
        <w:rPr>
          <w:rFonts w:hint="eastAsia" w:ascii="仿宋_GB2312" w:hAnsi="宋体" w:eastAsia="仿宋_GB2312" w:cs="Times New Roman"/>
          <w:sz w:val="24"/>
        </w:rPr>
        <w:t>000分及以上，</w:t>
      </w:r>
      <w:r>
        <w:rPr>
          <w:rFonts w:ascii="仿宋_GB2312" w:hAnsi="宋体" w:eastAsia="仿宋_GB2312" w:cs="Times New Roman"/>
          <w:sz w:val="24"/>
        </w:rPr>
        <w:t>加</w:t>
      </w:r>
      <w:r>
        <w:rPr>
          <w:rFonts w:hint="eastAsia" w:ascii="仿宋_GB2312" w:hAnsi="宋体" w:eastAsia="仿宋_GB2312" w:cs="Times New Roman"/>
          <w:sz w:val="24"/>
          <w:lang w:val="en-US" w:eastAsia="zh-CN"/>
        </w:rPr>
        <w:t>6</w:t>
      </w:r>
      <w:r>
        <w:rPr>
          <w:rFonts w:hint="eastAsia" w:ascii="仿宋_GB2312" w:hAnsi="宋体" w:eastAsia="仿宋_GB2312" w:cs="Times New Roman"/>
          <w:sz w:val="24"/>
        </w:rPr>
        <w:t>分</w:t>
      </w:r>
      <w:r>
        <w:rPr>
          <w:rFonts w:ascii="仿宋_GB2312" w:hAnsi="宋体" w:eastAsia="仿宋_GB2312" w:cs="Times New Roman"/>
          <w:sz w:val="24"/>
        </w:rPr>
        <w:t>。</w:t>
      </w:r>
    </w:p>
    <w:p>
      <w:pPr>
        <w:numPr>
          <w:ilvl w:val="0"/>
          <w:numId w:val="2"/>
        </w:num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扣分项：</w:t>
      </w:r>
    </w:p>
    <w:p>
      <w:pPr>
        <w:numPr>
          <w:ilvl w:val="0"/>
          <w:numId w:val="0"/>
        </w:num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1</w:t>
      </w:r>
      <w:r>
        <w:rPr>
          <w:rFonts w:hint="eastAsia" w:ascii="仿宋_GB2312" w:hAnsi="宋体" w:eastAsia="仿宋_GB2312" w:cs="Times New Roman"/>
          <w:sz w:val="24"/>
        </w:rPr>
        <w:t>）</w:t>
      </w:r>
      <w:r>
        <w:rPr>
          <w:rFonts w:ascii="仿宋_GB2312" w:hAnsi="宋体" w:eastAsia="仿宋_GB2312" w:cs="Times New Roman"/>
          <w:sz w:val="24"/>
        </w:rPr>
        <w:t>因违反有关规定受有关部门批评教育者</w:t>
      </w:r>
      <w:r>
        <w:rPr>
          <w:rFonts w:hint="eastAsia" w:ascii="仿宋_GB2312" w:hAnsi="宋体" w:eastAsia="仿宋_GB2312" w:cs="Times New Roman"/>
          <w:sz w:val="24"/>
        </w:rPr>
        <w:t>（有通知备案的），每次扣4分；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（2）通报批评扣10分；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（3）警告处分扣15分；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（4）严重警告处分扣25分；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（5）记过处分扣35分；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（6）留校察看处分期间扣55分；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（7）开除党籍、团籍处分，德育成绩按0分计；</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（8）受其他党团纪律处分，参照上述3-6款规定扣分；</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9</w:t>
      </w:r>
      <w:r>
        <w:rPr>
          <w:rFonts w:hint="eastAsia" w:ascii="仿宋_GB2312" w:hAnsi="宋体" w:eastAsia="仿宋_GB2312" w:cs="Times New Roman"/>
          <w:sz w:val="24"/>
        </w:rPr>
        <w:t>）因受纪律处分而受党团纪律处分的，不重复扣分。</w:t>
      </w:r>
    </w:p>
    <w:p>
      <w:pPr>
        <w:adjustRightInd w:val="0"/>
        <w:snapToGrid w:val="0"/>
        <w:spacing w:line="360" w:lineRule="auto"/>
        <w:ind w:firstLine="480" w:firstLineChars="200"/>
        <w:jc w:val="both"/>
        <w:rPr>
          <w:rFonts w:hint="eastAsia" w:ascii="仿宋_GB2312" w:hAnsi="宋体" w:eastAsia="仿宋_GB2312" w:cs="Times New Roman"/>
          <w:sz w:val="24"/>
        </w:rPr>
      </w:pPr>
    </w:p>
    <w:p>
      <w:p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（二）智育分</w:t>
      </w:r>
    </w:p>
    <w:p>
      <w:pPr>
        <w:adjustRightInd w:val="0"/>
        <w:snapToGrid w:val="0"/>
        <w:spacing w:line="360" w:lineRule="auto"/>
        <w:ind w:firstLine="482" w:firstLineChars="200"/>
        <w:jc w:val="both"/>
        <w:rPr>
          <w:rFonts w:ascii="仿宋_GB2312" w:hAnsi="宋体" w:eastAsia="仿宋_GB2312" w:cs="Times New Roman"/>
          <w:b/>
          <w:sz w:val="24"/>
        </w:rPr>
      </w:pPr>
      <w:r>
        <w:rPr>
          <w:rFonts w:hint="eastAsia" w:ascii="仿宋_GB2312" w:hAnsi="宋体" w:eastAsia="仿宋_GB2312" w:cs="Times New Roman"/>
          <w:b/>
          <w:sz w:val="24"/>
        </w:rPr>
        <w:t>智育分（1</w:t>
      </w:r>
      <w:r>
        <w:rPr>
          <w:rFonts w:ascii="仿宋_GB2312" w:hAnsi="宋体" w:eastAsia="仿宋_GB2312" w:cs="Times New Roman"/>
          <w:b/>
          <w:sz w:val="24"/>
        </w:rPr>
        <w:t>00</w:t>
      </w:r>
      <w:r>
        <w:rPr>
          <w:rFonts w:hint="eastAsia" w:ascii="仿宋_GB2312" w:hAnsi="宋体" w:eastAsia="仿宋_GB2312" w:cs="Times New Roman"/>
          <w:b/>
          <w:sz w:val="24"/>
        </w:rPr>
        <w:t>分）＝课程学习成绩（85分）＋智育加分成绩（15分）</w:t>
      </w:r>
    </w:p>
    <w:p>
      <w:pPr>
        <w:adjustRightInd w:val="0"/>
        <w:snapToGrid w:val="0"/>
        <w:spacing w:line="360" w:lineRule="auto"/>
        <w:ind w:firstLine="480" w:firstLineChars="200"/>
        <w:jc w:val="both"/>
        <w:rPr>
          <w:rFonts w:ascii="仿宋_GB2312" w:hAnsi="宋体" w:eastAsia="仿宋_GB2312" w:cs="Times New Roman"/>
          <w:sz w:val="24"/>
        </w:rPr>
      </w:pPr>
      <w:r>
        <w:rPr>
          <w:rFonts w:ascii="仿宋_GB2312" w:hAnsi="宋体" w:eastAsia="仿宋_GB2312" w:cs="Times New Roman"/>
          <w:sz w:val="24"/>
        </w:rPr>
        <w:t>1</w:t>
      </w:r>
      <w:r>
        <w:rPr>
          <w:rFonts w:hint="eastAsia" w:ascii="仿宋_GB2312" w:hAnsi="宋体" w:eastAsia="仿宋_GB2312" w:cs="Times New Roman"/>
          <w:sz w:val="24"/>
        </w:rPr>
        <w:t>、课程学习成绩＝0.9∑</w:t>
      </w:r>
      <w:r>
        <w:rPr>
          <w:rFonts w:ascii="仿宋_GB2312" w:hAnsi="宋体" w:eastAsia="仿宋_GB2312" w:cs="Times New Roman"/>
          <w:sz w:val="24"/>
        </w:rPr>
        <w:t>(Ii</w:t>
      </w:r>
      <w:r>
        <w:rPr>
          <w:rFonts w:hint="eastAsia" w:ascii="仿宋_GB2312" w:hAnsi="宋体" w:eastAsia="仿宋_GB2312" w:cs="Times New Roman"/>
          <w:sz w:val="24"/>
        </w:rPr>
        <w:t>×X</w:t>
      </w:r>
      <w:r>
        <w:rPr>
          <w:rFonts w:ascii="仿宋_GB2312" w:hAnsi="宋体" w:eastAsia="仿宋_GB2312" w:cs="Times New Roman"/>
          <w:sz w:val="24"/>
        </w:rPr>
        <w:t>i)</w:t>
      </w:r>
      <w:r>
        <w:rPr>
          <w:rFonts w:hint="eastAsia" w:ascii="仿宋_GB2312" w:hAnsi="宋体" w:eastAsia="仿宋_GB2312" w:cs="Times New Roman"/>
          <w:sz w:val="24"/>
        </w:rPr>
        <w:t>／∑</w:t>
      </w:r>
      <w:r>
        <w:rPr>
          <w:rFonts w:ascii="仿宋_GB2312" w:hAnsi="宋体" w:eastAsia="仿宋_GB2312" w:cs="Times New Roman"/>
          <w:sz w:val="24"/>
        </w:rPr>
        <w:t>Ii</w:t>
      </w:r>
      <w:r>
        <w:rPr>
          <w:rFonts w:hint="eastAsia" w:ascii="仿宋_GB2312" w:hAnsi="宋体" w:eastAsia="仿宋_GB2312" w:cs="Times New Roman"/>
          <w:sz w:val="24"/>
        </w:rPr>
        <w:t>＋0</w:t>
      </w:r>
      <w:r>
        <w:rPr>
          <w:rFonts w:ascii="仿宋_GB2312" w:hAnsi="宋体" w:eastAsia="仿宋_GB2312" w:cs="Times New Roman"/>
          <w:sz w:val="24"/>
        </w:rPr>
        <w:t>.</w:t>
      </w:r>
      <w:r>
        <w:rPr>
          <w:rFonts w:hint="eastAsia" w:ascii="仿宋_GB2312" w:hAnsi="宋体" w:eastAsia="仿宋_GB2312" w:cs="Times New Roman"/>
          <w:sz w:val="24"/>
        </w:rPr>
        <w:t>1∑</w:t>
      </w:r>
      <w:r>
        <w:rPr>
          <w:rFonts w:ascii="仿宋_GB2312" w:hAnsi="宋体" w:eastAsia="仿宋_GB2312" w:cs="Times New Roman"/>
          <w:sz w:val="24"/>
        </w:rPr>
        <w:t>(Si</w:t>
      </w:r>
      <w:r>
        <w:rPr>
          <w:rFonts w:hint="eastAsia" w:ascii="仿宋_GB2312" w:hAnsi="宋体" w:eastAsia="仿宋_GB2312" w:cs="Times New Roman"/>
          <w:sz w:val="24"/>
        </w:rPr>
        <w:t>×X</w:t>
      </w:r>
      <w:r>
        <w:rPr>
          <w:rFonts w:ascii="仿宋_GB2312" w:hAnsi="宋体" w:eastAsia="仿宋_GB2312" w:cs="Times New Roman"/>
          <w:sz w:val="24"/>
        </w:rPr>
        <w:t>s)</w:t>
      </w:r>
      <w:r>
        <w:rPr>
          <w:rFonts w:hint="eastAsia" w:ascii="仿宋_GB2312" w:hAnsi="宋体" w:eastAsia="仿宋_GB2312" w:cs="Times New Roman"/>
          <w:sz w:val="24"/>
        </w:rPr>
        <w:t>／∑</w:t>
      </w:r>
      <w:r>
        <w:rPr>
          <w:rFonts w:ascii="仿宋_GB2312" w:hAnsi="宋体" w:eastAsia="仿宋_GB2312" w:cs="Times New Roman"/>
          <w:sz w:val="24"/>
        </w:rPr>
        <w:t>Si</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其中：</w:t>
      </w:r>
      <w:r>
        <w:rPr>
          <w:rFonts w:ascii="仿宋_GB2312" w:hAnsi="宋体" w:eastAsia="仿宋_GB2312" w:cs="Times New Roman"/>
          <w:sz w:val="24"/>
        </w:rPr>
        <w:t>Ii</w:t>
      </w:r>
      <w:r>
        <w:rPr>
          <w:rFonts w:hint="eastAsia" w:ascii="仿宋_GB2312" w:hAnsi="宋体" w:eastAsia="仿宋_GB2312" w:cs="Times New Roman"/>
          <w:sz w:val="24"/>
        </w:rPr>
        <w:t>＝各必修课、专业限选课学分数、</w:t>
      </w:r>
      <w:r>
        <w:rPr>
          <w:rFonts w:ascii="仿宋_GB2312" w:hAnsi="宋体" w:eastAsia="仿宋_GB2312" w:cs="Times New Roman"/>
          <w:sz w:val="24"/>
        </w:rPr>
        <w:t>Si</w:t>
      </w:r>
      <w:r>
        <w:rPr>
          <w:rFonts w:hint="eastAsia" w:ascii="仿宋_GB2312" w:hAnsi="宋体" w:eastAsia="仿宋_GB2312" w:cs="Times New Roman"/>
          <w:sz w:val="24"/>
        </w:rPr>
        <w:t>＝各选修课学分数（不含专业限选课），X</w:t>
      </w:r>
      <w:r>
        <w:rPr>
          <w:rFonts w:ascii="仿宋_GB2312" w:hAnsi="宋体" w:eastAsia="仿宋_GB2312" w:cs="Times New Roman"/>
          <w:sz w:val="24"/>
        </w:rPr>
        <w:t>i</w:t>
      </w:r>
      <w:r>
        <w:rPr>
          <w:rFonts w:hint="eastAsia" w:ascii="仿宋_GB2312" w:hAnsi="宋体" w:eastAsia="仿宋_GB2312" w:cs="Times New Roman"/>
          <w:sz w:val="24"/>
        </w:rPr>
        <w:t>＝必修课、专业限选课所得成绩、X</w:t>
      </w:r>
      <w:r>
        <w:rPr>
          <w:rFonts w:ascii="仿宋_GB2312" w:hAnsi="宋体" w:eastAsia="仿宋_GB2312" w:cs="Times New Roman"/>
          <w:sz w:val="24"/>
        </w:rPr>
        <w:t>s=</w:t>
      </w:r>
      <w:r>
        <w:rPr>
          <w:rFonts w:hint="eastAsia" w:ascii="仿宋_GB2312" w:hAnsi="宋体" w:eastAsia="仿宋_GB2312" w:cs="Times New Roman"/>
          <w:sz w:val="24"/>
        </w:rPr>
        <w:t>选修课（不含专业限选课），所得成绩，均按百分制计算(按五级制计算时：优=95分；良=85分；中=75分；及格=65分；不及格=40分；成绩记载为两级制时，不计入课程学习成绩)；英语成绩按所在班级级别乘以系数（高级学术英语</w:t>
      </w:r>
      <w:r>
        <w:rPr>
          <w:rFonts w:ascii="仿宋_GB2312" w:hAnsi="宋体" w:eastAsia="仿宋_GB2312" w:cs="Times New Roman"/>
          <w:sz w:val="24"/>
        </w:rPr>
        <w:t>:1.10</w:t>
      </w:r>
      <w:r>
        <w:rPr>
          <w:rFonts w:hint="eastAsia" w:ascii="仿宋_GB2312" w:hAnsi="宋体" w:eastAsia="仿宋_GB2312" w:cs="Times New Roman"/>
          <w:sz w:val="24"/>
        </w:rPr>
        <w:t>，基础学术英语</w:t>
      </w:r>
      <w:r>
        <w:rPr>
          <w:rFonts w:ascii="仿宋_GB2312" w:hAnsi="宋体" w:eastAsia="仿宋_GB2312" w:cs="Times New Roman"/>
          <w:sz w:val="24"/>
        </w:rPr>
        <w:t>:1.0</w:t>
      </w:r>
      <w:r>
        <w:rPr>
          <w:rFonts w:hint="eastAsia" w:ascii="仿宋_GB2312" w:hAnsi="宋体" w:eastAsia="仿宋_GB2312" w:cs="Times New Roman"/>
          <w:sz w:val="24"/>
        </w:rPr>
        <w:t>5，通用大学英语：1.00）后参与计算综合测评。</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缓考课程如开学三周内不能提供成绩的，成绩纳入下学年度考核。课程成绩计算时，补考、重修成绩以60分计，复修成绩</w:t>
      </w:r>
      <w:r>
        <w:rPr>
          <w:rFonts w:hint="eastAsia" w:ascii="仿宋_GB2312" w:hAnsi="宋体" w:eastAsia="仿宋_GB2312" w:cs="Times New Roman"/>
          <w:sz w:val="24"/>
          <w:lang w:val="en-US" w:eastAsia="zh-CN"/>
        </w:rPr>
        <w:t>及学分均</w:t>
      </w:r>
      <w:r>
        <w:rPr>
          <w:rFonts w:hint="eastAsia" w:ascii="仿宋_GB2312" w:hAnsi="宋体" w:eastAsia="仿宋_GB2312" w:cs="Times New Roman"/>
          <w:sz w:val="24"/>
        </w:rPr>
        <w:t>不参与计算。</w:t>
      </w:r>
    </w:p>
    <w:p>
      <w:pPr>
        <w:adjustRightInd w:val="0"/>
        <w:snapToGrid w:val="0"/>
        <w:spacing w:line="360" w:lineRule="auto"/>
        <w:ind w:firstLine="480" w:firstLineChars="200"/>
        <w:jc w:val="both"/>
        <w:rPr>
          <w:rFonts w:ascii="仿宋_GB2312" w:hAnsi="宋体" w:eastAsia="仿宋_GB2312" w:cs="Times New Roman"/>
          <w:sz w:val="24"/>
        </w:rPr>
      </w:pPr>
      <w:r>
        <w:rPr>
          <w:rFonts w:ascii="仿宋_GB2312" w:hAnsi="宋体" w:eastAsia="仿宋_GB2312" w:cs="Times New Roman"/>
          <w:sz w:val="24"/>
        </w:rPr>
        <w:t>2</w:t>
      </w:r>
      <w:r>
        <w:rPr>
          <w:rFonts w:hint="eastAsia" w:ascii="仿宋_GB2312" w:hAnsi="宋体" w:eastAsia="仿宋_GB2312" w:cs="Times New Roman"/>
          <w:sz w:val="24"/>
        </w:rPr>
        <w:t>、智育加分成绩</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凡参加学科类竞赛及大学生科技活动取得各级奖励者按下表加分：</w:t>
      </w:r>
    </w:p>
    <w:tbl>
      <w:tblPr>
        <w:tblStyle w:val="5"/>
        <w:tblW w:w="753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3"/>
        <w:gridCol w:w="1395"/>
        <w:gridCol w:w="1495"/>
        <w:gridCol w:w="1345"/>
        <w:gridCol w:w="14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l2br w:val="single" w:color="auto" w:sz="4" w:space="0"/>
            </w:tcBorders>
          </w:tcPr>
          <w:p>
            <w:pPr>
              <w:adjustRightInd w:val="0"/>
              <w:snapToGrid w:val="0"/>
              <w:spacing w:line="360" w:lineRule="auto"/>
              <w:jc w:val="both"/>
              <w:rPr>
                <w:rFonts w:ascii="仿宋_GB2312" w:hAnsi="宋体" w:eastAsia="仿宋_GB2312" w:cs="Times New Roman"/>
                <w:sz w:val="20"/>
                <w:szCs w:val="20"/>
              </w:rPr>
            </w:pPr>
            <w:r>
              <w:rPr>
                <w:rFonts w:hint="eastAsia" w:ascii="仿宋_GB2312" w:hAnsi="宋体" w:eastAsia="仿宋_GB2312" w:cs="Times New Roman"/>
                <w:sz w:val="20"/>
                <w:szCs w:val="20"/>
              </w:rPr>
              <w:t xml:space="preserve">      分值</w:t>
            </w:r>
          </w:p>
          <w:p>
            <w:pPr>
              <w:adjustRightInd w:val="0"/>
              <w:snapToGrid w:val="0"/>
              <w:spacing w:line="360" w:lineRule="auto"/>
              <w:ind w:firstLine="200" w:firstLineChars="100"/>
              <w:jc w:val="both"/>
              <w:rPr>
                <w:rFonts w:ascii="仿宋_GB2312" w:hAnsi="宋体" w:eastAsia="仿宋_GB2312" w:cs="Times New Roman"/>
                <w:sz w:val="20"/>
                <w:szCs w:val="20"/>
              </w:rPr>
            </w:pPr>
            <w:r>
              <w:rPr>
                <w:rFonts w:hint="eastAsia" w:ascii="仿宋_GB2312" w:hAnsi="宋体" w:eastAsia="仿宋_GB2312" w:cs="Times New Roman"/>
                <w:sz w:val="20"/>
                <w:szCs w:val="20"/>
              </w:rPr>
              <w:t>级别</w:t>
            </w:r>
          </w:p>
        </w:tc>
        <w:tc>
          <w:tcPr>
            <w:tcW w:w="139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一等奖</w:t>
            </w:r>
          </w:p>
        </w:tc>
        <w:tc>
          <w:tcPr>
            <w:tcW w:w="149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二等奖</w:t>
            </w:r>
          </w:p>
        </w:tc>
        <w:tc>
          <w:tcPr>
            <w:tcW w:w="13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三等奖</w:t>
            </w:r>
          </w:p>
        </w:tc>
        <w:tc>
          <w:tcPr>
            <w:tcW w:w="144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鼓励奖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国家级</w:t>
            </w:r>
          </w:p>
        </w:tc>
        <w:tc>
          <w:tcPr>
            <w:tcW w:w="13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12</w:t>
            </w:r>
          </w:p>
        </w:tc>
        <w:tc>
          <w:tcPr>
            <w:tcW w:w="14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10</w:t>
            </w:r>
          </w:p>
        </w:tc>
        <w:tc>
          <w:tcPr>
            <w:tcW w:w="134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8</w:t>
            </w:r>
          </w:p>
        </w:tc>
        <w:tc>
          <w:tcPr>
            <w:tcW w:w="1447"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省部级</w:t>
            </w:r>
          </w:p>
        </w:tc>
        <w:tc>
          <w:tcPr>
            <w:tcW w:w="13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8</w:t>
            </w:r>
          </w:p>
        </w:tc>
        <w:tc>
          <w:tcPr>
            <w:tcW w:w="14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6</w:t>
            </w:r>
          </w:p>
        </w:tc>
        <w:tc>
          <w:tcPr>
            <w:tcW w:w="134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4</w:t>
            </w:r>
          </w:p>
        </w:tc>
        <w:tc>
          <w:tcPr>
            <w:tcW w:w="1447"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校级</w:t>
            </w:r>
          </w:p>
        </w:tc>
        <w:tc>
          <w:tcPr>
            <w:tcW w:w="13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4</w:t>
            </w:r>
          </w:p>
        </w:tc>
        <w:tc>
          <w:tcPr>
            <w:tcW w:w="149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3</w:t>
            </w:r>
          </w:p>
        </w:tc>
        <w:tc>
          <w:tcPr>
            <w:tcW w:w="1345"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2</w:t>
            </w:r>
          </w:p>
        </w:tc>
        <w:tc>
          <w:tcPr>
            <w:tcW w:w="1447"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1</w:t>
            </w:r>
          </w:p>
        </w:tc>
      </w:tr>
    </w:tbl>
    <w:p>
      <w:pPr>
        <w:adjustRightInd w:val="0"/>
        <w:snapToGrid w:val="0"/>
        <w:spacing w:line="360" w:lineRule="auto"/>
        <w:ind w:firstLine="480" w:firstLineChars="200"/>
        <w:jc w:val="both"/>
        <w:rPr>
          <w:rFonts w:ascii="仿宋_GB2312" w:hAnsi="宋体" w:eastAsia="仿宋_GB2312" w:cs="Times New Roman"/>
          <w:sz w:val="24"/>
        </w:rPr>
      </w:pP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奖励分由班级综合测评小组核定。特殊加分说明如下：</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（1）“挑战杯”全国大学生课外学术科技作品竞赛、中国国际大学生创新创业大赛、“挑战杯”中国大学生创业计划大赛获得国家级一、二、三等奖分别加6</w:t>
      </w:r>
      <w:r>
        <w:rPr>
          <w:rFonts w:ascii="仿宋_GB2312" w:hAnsi="宋体" w:eastAsia="仿宋_GB2312" w:cs="Times New Roman"/>
          <w:sz w:val="24"/>
        </w:rPr>
        <w:t>0</w:t>
      </w:r>
      <w:r>
        <w:rPr>
          <w:rFonts w:hint="eastAsia" w:ascii="仿宋_GB2312" w:hAnsi="宋体" w:eastAsia="仿宋_GB2312" w:cs="Times New Roman"/>
          <w:sz w:val="24"/>
        </w:rPr>
        <w:t>、4</w:t>
      </w:r>
      <w:r>
        <w:rPr>
          <w:rFonts w:ascii="仿宋_GB2312" w:hAnsi="宋体" w:eastAsia="仿宋_GB2312" w:cs="Times New Roman"/>
          <w:sz w:val="24"/>
        </w:rPr>
        <w:t>0</w:t>
      </w:r>
      <w:r>
        <w:rPr>
          <w:rFonts w:hint="eastAsia" w:ascii="仿宋_GB2312" w:hAnsi="宋体" w:eastAsia="仿宋_GB2312" w:cs="Times New Roman"/>
          <w:sz w:val="24"/>
        </w:rPr>
        <w:t>、</w:t>
      </w:r>
      <w:r>
        <w:rPr>
          <w:rFonts w:ascii="仿宋_GB2312" w:hAnsi="宋体" w:eastAsia="仿宋_GB2312" w:cs="Times New Roman"/>
          <w:sz w:val="24"/>
        </w:rPr>
        <w:t>30</w:t>
      </w:r>
      <w:r>
        <w:rPr>
          <w:rFonts w:hint="eastAsia" w:ascii="仿宋_GB2312" w:hAnsi="宋体" w:eastAsia="仿宋_GB2312" w:cs="Times New Roman"/>
          <w:sz w:val="24"/>
        </w:rPr>
        <w:t>分，</w:t>
      </w:r>
      <w:r>
        <w:rPr>
          <w:rFonts w:ascii="仿宋_GB2312" w:hAnsi="宋体" w:eastAsia="仿宋_GB2312" w:cs="Times New Roman"/>
          <w:sz w:val="24"/>
        </w:rPr>
        <w:t>入围奖加10分。</w:t>
      </w:r>
      <w:r>
        <w:rPr>
          <w:rFonts w:hint="eastAsia" w:ascii="仿宋_GB2312" w:hAnsi="宋体" w:eastAsia="仿宋_GB2312" w:cs="Times New Roman"/>
          <w:sz w:val="24"/>
        </w:rPr>
        <w:t>其他级别获奖按照对应级别加分。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（2）参加《中国石油大学（北京）大学生竞赛清单》</w:t>
      </w:r>
      <w:r>
        <w:rPr>
          <w:rFonts w:ascii="仿宋_GB2312" w:hAnsi="宋体" w:eastAsia="仿宋_GB2312" w:cs="Times New Roman"/>
          <w:sz w:val="24"/>
        </w:rPr>
        <w:t>B级中备注为竞赛目录</w:t>
      </w:r>
      <w:r>
        <w:rPr>
          <w:rFonts w:hint="eastAsia" w:ascii="仿宋_GB2312" w:hAnsi="宋体" w:eastAsia="仿宋_GB2312" w:cs="Times New Roman"/>
          <w:sz w:val="24"/>
        </w:rPr>
        <w:t>的比赛，获得国家级一、二、三等奖分别加</w:t>
      </w:r>
      <w:r>
        <w:rPr>
          <w:rFonts w:ascii="仿宋_GB2312" w:hAnsi="宋体" w:eastAsia="仿宋_GB2312" w:cs="Times New Roman"/>
          <w:sz w:val="24"/>
        </w:rPr>
        <w:t>24、16、12分</w:t>
      </w:r>
      <w:r>
        <w:rPr>
          <w:rFonts w:hint="eastAsia" w:ascii="仿宋_GB2312" w:hAnsi="宋体" w:eastAsia="仿宋_GB2312" w:cs="Times New Roman"/>
          <w:sz w:val="24"/>
        </w:rPr>
        <w:t>，鼓励奖加</w:t>
      </w:r>
      <w:r>
        <w:rPr>
          <w:rFonts w:ascii="仿宋_GB2312" w:hAnsi="宋体" w:eastAsia="仿宋_GB2312" w:cs="Times New Roman"/>
          <w:sz w:val="24"/>
        </w:rPr>
        <w:t>10分</w:t>
      </w:r>
      <w:r>
        <w:rPr>
          <w:rFonts w:hint="eastAsia" w:ascii="仿宋_GB2312" w:hAnsi="宋体" w:eastAsia="仿宋_GB2312" w:cs="Times New Roman"/>
          <w:sz w:val="24"/>
        </w:rPr>
        <w:t>省部级与校级</w:t>
      </w:r>
      <w:r>
        <w:rPr>
          <w:rFonts w:ascii="仿宋_GB2312" w:hAnsi="宋体" w:eastAsia="仿宋_GB2312" w:cs="Times New Roman"/>
          <w:sz w:val="24"/>
        </w:rPr>
        <w:t>获奖按照对应级别加分。</w:t>
      </w:r>
      <w:r>
        <w:rPr>
          <w:rFonts w:hint="eastAsia" w:ascii="仿宋_GB2312" w:hAnsi="宋体" w:eastAsia="仿宋_GB2312" w:cs="Times New Roman"/>
          <w:sz w:val="24"/>
        </w:rPr>
        <w:t>《中国石油大学（北京）大学生竞赛清单》其他</w:t>
      </w:r>
      <w:r>
        <w:rPr>
          <w:rFonts w:ascii="仿宋_GB2312" w:hAnsi="宋体" w:eastAsia="仿宋_GB2312" w:cs="Times New Roman"/>
          <w:sz w:val="24"/>
        </w:rPr>
        <w:t>B级比赛按照对应级别加分。</w:t>
      </w:r>
    </w:p>
    <w:p>
      <w:pPr>
        <w:adjustRightInd w:val="0"/>
        <w:snapToGrid w:val="0"/>
        <w:spacing w:line="360" w:lineRule="auto"/>
        <w:ind w:firstLine="480" w:firstLineChars="200"/>
        <w:jc w:val="both"/>
        <w:rPr>
          <w:rFonts w:ascii="仿宋_GB2312" w:hAnsi="宋体" w:eastAsia="仿宋_GB2312" w:cs="Times New Roman"/>
          <w:color w:val="auto"/>
          <w:sz w:val="24"/>
        </w:rPr>
      </w:pPr>
      <w:r>
        <w:rPr>
          <w:rFonts w:hint="eastAsia" w:ascii="仿宋_GB2312" w:hAnsi="宋体" w:eastAsia="仿宋_GB2312" w:cs="Times New Roman"/>
          <w:sz w:val="24"/>
        </w:rPr>
        <w:t>（3）参加全国大学生油气储运工程设计大赛、全国石油工程设计大赛、全国油气储运工</w:t>
      </w:r>
      <w:r>
        <w:rPr>
          <w:rFonts w:hint="eastAsia" w:ascii="仿宋_GB2312" w:hAnsi="宋体" w:eastAsia="仿宋_GB2312" w:cs="Times New Roman"/>
          <w:color w:val="auto"/>
          <w:sz w:val="24"/>
        </w:rPr>
        <w:t>程数值仿真技能创新大赛、中国研究生能源装备创新设计大赛等高水平能源类竞赛以及“华为杯”全国研究生数学建模竞赛，获奖按照对应级别加分。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（4）《中国石油大学（北京）大学生竞赛清单》中A 级赛事加分系数为 1.5；B 级赛事加分系数为 1.0；C 级赛事加分系数为 0.5；D 级赛事加分系数为 0.3。</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5</w:t>
      </w:r>
      <w:r>
        <w:rPr>
          <w:rFonts w:hint="eastAsia" w:ascii="仿宋_GB2312" w:hAnsi="宋体" w:eastAsia="仿宋_GB2312" w:cs="Times New Roman"/>
          <w:sz w:val="24"/>
        </w:rPr>
        <w:t>）全国部分地区大学生物理竞赛、“能源·智慧·未来”全国大学生创新创业大赛、五一数学建模竞赛、Mathorcup高校数学建模挑战赛、“中国电机工程学会杯”全国大学生电工数学建模竞赛、APMCM亚太地区大学生数学建模竞赛、“数创杯”全国大学生数学建模挑战赛等，按照省部级奖项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（5）计算机技能大赛（C程序设计）、国际企业管理挑战赛（GMC）等学科竞赛获奖按照校级学科竞赛加分。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（6）</w:t>
      </w:r>
      <w:r>
        <w:rPr>
          <w:rFonts w:ascii="仿宋_GB2312" w:hAnsi="宋体" w:eastAsia="仿宋_GB2312" w:cs="Times New Roman"/>
          <w:sz w:val="24"/>
        </w:rPr>
        <w:t>其他各类比赛由学院综合测评认定小组评定</w:t>
      </w:r>
      <w:r>
        <w:rPr>
          <w:rFonts w:hint="eastAsia" w:ascii="仿宋_GB2312" w:hAnsi="宋体" w:eastAsia="仿宋_GB2312" w:cs="Times New Roman"/>
          <w:sz w:val="24"/>
        </w:rPr>
        <w:t>，选择不加分或</w:t>
      </w:r>
      <w:r>
        <w:rPr>
          <w:rFonts w:ascii="仿宋_GB2312" w:hAnsi="宋体" w:eastAsia="仿宋_GB2312" w:cs="Times New Roman"/>
          <w:sz w:val="24"/>
        </w:rPr>
        <w:t>降档</w:t>
      </w:r>
      <w:r>
        <w:rPr>
          <w:rFonts w:hint="eastAsia" w:ascii="仿宋_GB2312" w:hAnsi="宋体" w:eastAsia="仿宋_GB2312" w:cs="Times New Roman"/>
          <w:sz w:val="24"/>
        </w:rPr>
        <w:t>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（7）网络类知识竞赛、学生组织及社团内部组织的知识竞赛（如：环保知识竞赛、防艾知识竞赛等）一律不加分。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（8）科技创新项目结题答辩获奖者按校级奖项加分。未通过中期检查或者未能结题的项目，综合测评中智育成绩扣</w:t>
      </w:r>
      <w:r>
        <w:rPr>
          <w:rFonts w:hint="eastAsia" w:ascii="仿宋_GB2312" w:hAnsi="宋体" w:eastAsia="仿宋_GB2312" w:cs="Times New Roman"/>
          <w:sz w:val="24"/>
          <w:lang w:val="en-US" w:eastAsia="zh-CN"/>
        </w:rPr>
        <w:t>2</w:t>
      </w:r>
      <w:r>
        <w:rPr>
          <w:rFonts w:hint="eastAsia" w:ascii="仿宋_GB2312" w:hAnsi="宋体" w:eastAsia="仿宋_GB2312" w:cs="Times New Roman"/>
          <w:sz w:val="24"/>
        </w:rPr>
        <w:t>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（9）本科生发表论文、专利不加分。</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（10）A 级赛事中如设有特等奖，特等奖等同一等奖，一等奖等同二等奖，以此类推，三等奖（铜奖）按照省部级一等奖（金奖）加分，该赛事省部级一等奖（金奖）加分减半。B 级赛事中如设有特等奖且仅有唯一项目获得特等奖，则该赛事特等奖加分系数为 1.2，一等奖加分不变；其他特等奖等同一等奖，一等奖等同二等奖，以此类推。</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3、附加说明</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（1）以团队参加比赛的，有两种加分方式可供选择。根据实际情况，由团队出具书面文件说明选择的加分方式及团队成员加分比例，交至班级综合测评小组</w:t>
      </w:r>
      <w:r>
        <w:rPr>
          <w:rFonts w:hint="eastAsia" w:ascii="仿宋_GB2312" w:hAnsi="宋体" w:eastAsia="仿宋_GB2312" w:cs="Times New Roman"/>
          <w:sz w:val="24"/>
          <w:lang w:eastAsia="zh-CN"/>
        </w:rPr>
        <w:t>，</w:t>
      </w:r>
      <w:r>
        <w:rPr>
          <w:rFonts w:hint="eastAsia" w:ascii="仿宋_GB2312" w:hAnsi="宋体" w:eastAsia="仿宋_GB2312" w:cs="Times New Roman"/>
          <w:sz w:val="24"/>
        </w:rPr>
        <w:t>两种加分方式如下</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其中队长默认为项目获奖中排序第一位同学）</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①项目不设队长，所有成员每人按</w:t>
      </w:r>
      <w:r>
        <w:rPr>
          <w:rFonts w:ascii="仿宋_GB2312" w:hAnsi="宋体" w:eastAsia="仿宋_GB2312" w:cs="Times New Roman"/>
          <w:sz w:val="24"/>
        </w:rPr>
        <w:t>1/2比例加分；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②项目设队长，队长按</w:t>
      </w:r>
      <w:r>
        <w:rPr>
          <w:rFonts w:ascii="仿宋_GB2312" w:hAnsi="宋体" w:eastAsia="仿宋_GB2312" w:cs="Times New Roman"/>
          <w:sz w:val="24"/>
        </w:rPr>
        <w:t>2/3</w:t>
      </w:r>
      <w:r>
        <w:rPr>
          <w:rFonts w:hint="eastAsia" w:ascii="仿宋_GB2312" w:hAnsi="宋体" w:eastAsia="仿宋_GB2312" w:cs="Times New Roman"/>
          <w:sz w:val="24"/>
        </w:rPr>
        <w:t>比例</w:t>
      </w:r>
      <w:r>
        <w:rPr>
          <w:rFonts w:ascii="仿宋_GB2312" w:hAnsi="宋体" w:eastAsia="仿宋_GB2312" w:cs="Times New Roman"/>
          <w:sz w:val="24"/>
        </w:rPr>
        <w:t>加分，</w:t>
      </w:r>
      <w:r>
        <w:rPr>
          <w:rFonts w:hint="eastAsia" w:ascii="仿宋_GB2312" w:hAnsi="宋体" w:eastAsia="仿宋_GB2312" w:cs="Times New Roman"/>
          <w:sz w:val="24"/>
        </w:rPr>
        <w:t>其他成员按1/2</w:t>
      </w:r>
      <w:r>
        <w:rPr>
          <w:rFonts w:ascii="仿宋_GB2312" w:hAnsi="宋体" w:eastAsia="仿宋_GB2312" w:cs="Times New Roman"/>
          <w:sz w:val="24"/>
        </w:rPr>
        <w:t>比例加分。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2</w:t>
      </w:r>
      <w:r>
        <w:rPr>
          <w:rFonts w:hint="eastAsia" w:ascii="仿宋_GB2312" w:hAnsi="宋体" w:eastAsia="仿宋_GB2312" w:cs="Times New Roman"/>
          <w:sz w:val="24"/>
        </w:rPr>
        <w:t>）</w:t>
      </w:r>
      <w:r>
        <w:rPr>
          <w:rFonts w:ascii="仿宋_GB2312" w:hAnsi="宋体" w:eastAsia="仿宋_GB2312" w:cs="Times New Roman"/>
          <w:sz w:val="24"/>
        </w:rPr>
        <w:t>加分说明中所示赛事等级为最高等级</w:t>
      </w:r>
      <w:r>
        <w:rPr>
          <w:rFonts w:hint="eastAsia" w:ascii="仿宋_GB2312" w:hAnsi="宋体" w:eastAsia="仿宋_GB2312" w:cs="Times New Roman"/>
          <w:sz w:val="24"/>
        </w:rPr>
        <w:t>，</w:t>
      </w:r>
      <w:r>
        <w:rPr>
          <w:rFonts w:ascii="仿宋_GB2312" w:hAnsi="宋体" w:eastAsia="仿宋_GB2312" w:cs="Times New Roman"/>
          <w:sz w:val="24"/>
        </w:rPr>
        <w:t>实际加分参考学生最终赛事取得成绩</w:t>
      </w:r>
      <w:r>
        <w:rPr>
          <w:rFonts w:hint="eastAsia" w:ascii="仿宋_GB2312" w:hAnsi="宋体" w:eastAsia="仿宋_GB2312" w:cs="Times New Roman"/>
          <w:sz w:val="24"/>
        </w:rPr>
        <w:t>，</w:t>
      </w:r>
      <w:r>
        <w:rPr>
          <w:rFonts w:ascii="仿宋_GB2312" w:hAnsi="宋体" w:eastAsia="仿宋_GB2312" w:cs="Times New Roman"/>
          <w:sz w:val="24"/>
        </w:rPr>
        <w:t>同一奖项取最高级别加分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（3）仅参加</w:t>
      </w:r>
      <w:r>
        <w:rPr>
          <w:rFonts w:ascii="仿宋_GB2312" w:hAnsi="宋体" w:eastAsia="仿宋_GB2312" w:cs="Times New Roman"/>
          <w:sz w:val="24"/>
        </w:rPr>
        <w:t>预赛</w:t>
      </w:r>
      <w:r>
        <w:rPr>
          <w:rFonts w:hint="eastAsia" w:ascii="仿宋_GB2312" w:hAnsi="宋体" w:eastAsia="仿宋_GB2312" w:cs="Times New Roman"/>
          <w:sz w:val="24"/>
        </w:rPr>
        <w:t>或</w:t>
      </w:r>
      <w:r>
        <w:rPr>
          <w:rFonts w:ascii="仿宋_GB2312" w:hAnsi="宋体" w:eastAsia="仿宋_GB2312" w:cs="Times New Roman"/>
          <w:sz w:val="24"/>
        </w:rPr>
        <w:t>初赛</w:t>
      </w:r>
      <w:r>
        <w:rPr>
          <w:rFonts w:hint="eastAsia" w:ascii="仿宋_GB2312" w:hAnsi="宋体" w:eastAsia="仿宋_GB2312" w:cs="Times New Roman"/>
          <w:sz w:val="24"/>
        </w:rPr>
        <w:t>的获奖</w:t>
      </w:r>
      <w:r>
        <w:rPr>
          <w:rFonts w:ascii="仿宋_GB2312" w:hAnsi="宋体" w:eastAsia="仿宋_GB2312" w:cs="Times New Roman"/>
          <w:sz w:val="24"/>
        </w:rPr>
        <w:t>加分需要降档</w:t>
      </w:r>
      <w:r>
        <w:rPr>
          <w:rFonts w:hint="eastAsia" w:ascii="仿宋_GB2312" w:hAnsi="宋体" w:eastAsia="仿宋_GB2312" w:cs="Times New Roman"/>
          <w:sz w:val="24"/>
        </w:rPr>
        <w:t>，参加</w:t>
      </w:r>
      <w:r>
        <w:rPr>
          <w:rFonts w:ascii="仿宋_GB2312" w:hAnsi="宋体" w:eastAsia="仿宋_GB2312" w:cs="Times New Roman"/>
          <w:sz w:val="24"/>
        </w:rPr>
        <w:t>预赛</w:t>
      </w:r>
      <w:r>
        <w:rPr>
          <w:rFonts w:hint="eastAsia" w:ascii="仿宋_GB2312" w:hAnsi="宋体" w:eastAsia="仿宋_GB2312" w:cs="Times New Roman"/>
          <w:sz w:val="24"/>
        </w:rPr>
        <w:t>或</w:t>
      </w:r>
      <w:r>
        <w:rPr>
          <w:rFonts w:ascii="仿宋_GB2312" w:hAnsi="宋体" w:eastAsia="仿宋_GB2312" w:cs="Times New Roman"/>
          <w:sz w:val="24"/>
        </w:rPr>
        <w:t>初赛</w:t>
      </w:r>
      <w:r>
        <w:rPr>
          <w:rFonts w:hint="eastAsia" w:ascii="仿宋_GB2312" w:hAnsi="宋体" w:eastAsia="仿宋_GB2312" w:cs="Times New Roman"/>
          <w:sz w:val="24"/>
        </w:rPr>
        <w:t>入围</w:t>
      </w:r>
      <w:r>
        <w:rPr>
          <w:rFonts w:ascii="仿宋_GB2312" w:hAnsi="宋体" w:eastAsia="仿宋_GB2312" w:cs="Times New Roman"/>
          <w:sz w:val="24"/>
        </w:rPr>
        <w:t>决赛获奖后，</w:t>
      </w:r>
      <w:r>
        <w:rPr>
          <w:rFonts w:hint="eastAsia" w:ascii="仿宋_GB2312" w:hAnsi="宋体" w:eastAsia="仿宋_GB2312" w:cs="Times New Roman"/>
          <w:sz w:val="24"/>
        </w:rPr>
        <w:t>仅</w:t>
      </w:r>
      <w:r>
        <w:rPr>
          <w:rFonts w:ascii="仿宋_GB2312" w:hAnsi="宋体" w:eastAsia="仿宋_GB2312" w:cs="Times New Roman"/>
          <w:sz w:val="24"/>
        </w:rPr>
        <w:t>取决赛</w:t>
      </w:r>
      <w:r>
        <w:rPr>
          <w:rFonts w:hint="eastAsia" w:ascii="仿宋_GB2312" w:hAnsi="宋体" w:eastAsia="仿宋_GB2312" w:cs="Times New Roman"/>
          <w:sz w:val="24"/>
        </w:rPr>
        <w:t>的</w:t>
      </w:r>
      <w:r>
        <w:rPr>
          <w:rFonts w:ascii="仿宋_GB2312" w:hAnsi="宋体" w:eastAsia="仿宋_GB2312" w:cs="Times New Roman"/>
          <w:sz w:val="24"/>
        </w:rPr>
        <w:t>获奖加分。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（4）参加</w:t>
      </w:r>
      <w:r>
        <w:rPr>
          <w:rFonts w:ascii="仿宋_GB2312" w:hAnsi="宋体" w:eastAsia="仿宋_GB2312" w:cs="Times New Roman"/>
          <w:sz w:val="24"/>
        </w:rPr>
        <w:t>除</w:t>
      </w:r>
      <w:r>
        <w:rPr>
          <w:rFonts w:hint="eastAsia" w:ascii="仿宋_GB2312" w:hAnsi="宋体" w:eastAsia="仿宋_GB2312" w:cs="Times New Roman"/>
          <w:sz w:val="24"/>
        </w:rPr>
        <w:t>《中国石油大学（北京）大学生竞赛清单》里的比赛和高水平能源类竞赛之外</w:t>
      </w:r>
      <w:r>
        <w:rPr>
          <w:rFonts w:ascii="仿宋_GB2312" w:hAnsi="宋体" w:eastAsia="仿宋_GB2312" w:cs="Times New Roman"/>
          <w:sz w:val="24"/>
        </w:rPr>
        <w:t>的学科竞赛，</w:t>
      </w:r>
      <w:r>
        <w:rPr>
          <w:rFonts w:hint="eastAsia" w:ascii="仿宋_GB2312" w:hAnsi="宋体" w:eastAsia="仿宋_GB2312" w:cs="Times New Roman"/>
          <w:sz w:val="24"/>
        </w:rPr>
        <w:t>获奖加分</w:t>
      </w:r>
      <w:r>
        <w:rPr>
          <w:rFonts w:ascii="仿宋_GB2312" w:hAnsi="宋体" w:eastAsia="仿宋_GB2312" w:cs="Times New Roman"/>
          <w:sz w:val="24"/>
        </w:rPr>
        <w:t>最多</w:t>
      </w:r>
      <w:r>
        <w:rPr>
          <w:rFonts w:hint="eastAsia" w:ascii="仿宋_GB2312" w:hAnsi="宋体" w:eastAsia="仿宋_GB2312" w:cs="Times New Roman"/>
          <w:sz w:val="24"/>
        </w:rPr>
        <w:t>可</w:t>
      </w:r>
      <w:r>
        <w:rPr>
          <w:rFonts w:ascii="仿宋_GB2312" w:hAnsi="宋体" w:eastAsia="仿宋_GB2312" w:cs="Times New Roman"/>
          <w:sz w:val="24"/>
        </w:rPr>
        <w:t>加三项。</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（5）相关成果和奖项应为当年综合测评周期内获得。</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（6）赛事级别以当年教务处认定发布的《中国石油大学（北京）大学生竞赛清单》规定为准。获奖以证书为准，同一项目仅取最高奖励级别加分。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（7）每人获多个奖项的，各项分值可累加，但校级赛事加分上限不超过 10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（8）以第一负责人主持国家级大学生创新创业训练计划项目并结题，限 1 项，加</w:t>
      </w:r>
      <w:r>
        <w:rPr>
          <w:rFonts w:hint="eastAsia" w:ascii="仿宋_GB2312" w:hAnsi="宋体" w:eastAsia="仿宋_GB2312" w:cs="Times New Roman"/>
          <w:sz w:val="24"/>
          <w:lang w:val="en-US" w:eastAsia="zh-CN"/>
        </w:rPr>
        <w:t xml:space="preserve"> </w:t>
      </w:r>
      <w:r>
        <w:rPr>
          <w:rFonts w:hint="eastAsia" w:ascii="仿宋_GB2312" w:hAnsi="宋体" w:eastAsia="仿宋_GB2312" w:cs="Times New Roman"/>
          <w:sz w:val="24"/>
        </w:rPr>
        <w:t>5 分。</w:t>
      </w:r>
    </w:p>
    <w:p>
      <w:pPr>
        <w:adjustRightInd w:val="0"/>
        <w:snapToGrid w:val="0"/>
        <w:spacing w:line="360" w:lineRule="auto"/>
        <w:ind w:firstLine="480" w:firstLineChars="200"/>
        <w:jc w:val="both"/>
        <w:rPr>
          <w:rFonts w:hint="eastAsia" w:ascii="仿宋_GB2312" w:hAnsi="宋体" w:eastAsia="仿宋_GB2312" w:cs="Times New Roman"/>
          <w:sz w:val="24"/>
        </w:rPr>
      </w:pPr>
    </w:p>
    <w:p>
      <w:pPr>
        <w:adjustRightInd w:val="0"/>
        <w:snapToGrid w:val="0"/>
        <w:spacing w:line="360" w:lineRule="auto"/>
        <w:ind w:firstLine="281" w:firstLineChars="1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（三）体育分</w:t>
      </w:r>
    </w:p>
    <w:p>
      <w:pPr>
        <w:adjustRightInd w:val="0"/>
        <w:snapToGrid w:val="0"/>
        <w:spacing w:line="360" w:lineRule="auto"/>
        <w:ind w:firstLine="482" w:firstLineChars="200"/>
        <w:jc w:val="both"/>
        <w:rPr>
          <w:rFonts w:ascii="仿宋_GB2312" w:hAnsi="宋体" w:eastAsia="仿宋_GB2312" w:cs="Times New Roman"/>
          <w:b/>
          <w:sz w:val="24"/>
        </w:rPr>
      </w:pPr>
      <w:r>
        <w:rPr>
          <w:rFonts w:hint="eastAsia" w:ascii="仿宋_GB2312" w:hAnsi="宋体" w:eastAsia="仿宋_GB2312" w:cs="Times New Roman"/>
          <w:b/>
          <w:sz w:val="24"/>
        </w:rPr>
        <w:t>体育分（1</w:t>
      </w:r>
      <w:r>
        <w:rPr>
          <w:rFonts w:ascii="仿宋_GB2312" w:hAnsi="宋体" w:eastAsia="仿宋_GB2312" w:cs="Times New Roman"/>
          <w:b/>
          <w:sz w:val="24"/>
        </w:rPr>
        <w:t>00</w:t>
      </w:r>
      <w:r>
        <w:rPr>
          <w:rFonts w:hint="eastAsia" w:ascii="仿宋_GB2312" w:hAnsi="宋体" w:eastAsia="仿宋_GB2312" w:cs="Times New Roman"/>
          <w:b/>
          <w:sz w:val="24"/>
        </w:rPr>
        <w:t>分）＝体育锻炼成绩（70分）+体育加分（30分）</w:t>
      </w:r>
    </w:p>
    <w:p>
      <w:pPr>
        <w:numPr>
          <w:ilvl w:val="0"/>
          <w:numId w:val="3"/>
        </w:num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体育锻炼成绩=[体测成绩（100分）×80%+体育课外锻炼成绩（100分）×20%]×70%</w:t>
      </w:r>
    </w:p>
    <w:p>
      <w:pPr>
        <w:numPr>
          <w:ilvl w:val="255"/>
          <w:numId w:val="0"/>
        </w:num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体测成绩以体育与人文艺术学院提供的《学生体质健康标准》测试成绩计分为准。体育课外锻炼成绩以体育与人文艺术学院提供的学生参加“阳光体育课外锻炼100公里跑”认定结果为准</w:t>
      </w:r>
      <w:r>
        <w:rPr>
          <w:rFonts w:hint="eastAsia" w:ascii="仿宋_GB2312" w:hAnsi="宋体" w:eastAsia="仿宋_GB2312" w:cs="Times New Roman"/>
          <w:sz w:val="24"/>
          <w:lang w:val="en-US" w:eastAsia="zh-CN"/>
        </w:rPr>
        <w:t>,完成当学年</w:t>
      </w:r>
      <w:r>
        <w:rPr>
          <w:rFonts w:hint="eastAsia" w:ascii="仿宋_GB2312" w:hAnsi="宋体" w:eastAsia="仿宋_GB2312" w:cs="Times New Roman"/>
          <w:sz w:val="24"/>
        </w:rPr>
        <w:t>“阳光体育课外锻炼100公里跑”</w:t>
      </w:r>
      <w:r>
        <w:rPr>
          <w:rFonts w:hint="eastAsia" w:ascii="仿宋_GB2312" w:hAnsi="宋体" w:eastAsia="仿宋_GB2312" w:cs="Times New Roman"/>
          <w:sz w:val="24"/>
          <w:lang w:val="en-US" w:eastAsia="zh-CN"/>
        </w:rPr>
        <w:t>该项记100分，若任一学期未完成</w:t>
      </w:r>
      <w:r>
        <w:rPr>
          <w:rFonts w:hint="eastAsia" w:ascii="仿宋_GB2312" w:hAnsi="宋体" w:eastAsia="仿宋_GB2312" w:cs="Times New Roman"/>
          <w:sz w:val="24"/>
        </w:rPr>
        <w:t>“阳光体育课外锻炼100公里跑”</w:t>
      </w:r>
      <w:r>
        <w:rPr>
          <w:rFonts w:hint="eastAsia" w:ascii="仿宋_GB2312" w:hAnsi="宋体" w:eastAsia="仿宋_GB2312" w:cs="Times New Roman"/>
          <w:sz w:val="24"/>
          <w:lang w:val="en-US" w:eastAsia="zh-CN"/>
        </w:rPr>
        <w:t>或存在</w:t>
      </w:r>
      <w:r>
        <w:rPr>
          <w:rFonts w:hint="eastAsia" w:ascii="仿宋_GB2312" w:hAnsi="宋体" w:eastAsia="仿宋_GB2312" w:cs="Times New Roman"/>
          <w:sz w:val="24"/>
        </w:rPr>
        <w:t>“阳光体育课外锻炼100公里跑”</w:t>
      </w:r>
      <w:r>
        <w:rPr>
          <w:rFonts w:hint="eastAsia" w:ascii="仿宋_GB2312" w:hAnsi="宋体" w:eastAsia="仿宋_GB2312" w:cs="Times New Roman"/>
          <w:sz w:val="24"/>
          <w:lang w:val="en-US" w:eastAsia="zh-CN"/>
        </w:rPr>
        <w:t>补跑情况</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则该项记0分</w:t>
      </w:r>
      <w:r>
        <w:rPr>
          <w:rFonts w:hint="eastAsia" w:ascii="仿宋_GB2312" w:hAnsi="宋体" w:eastAsia="仿宋_GB2312" w:cs="Times New Roman"/>
          <w:sz w:val="24"/>
        </w:rPr>
        <w:t>。学生因病或者残疾经校医院证明并由体能测试中心核准后，体测成绩按及格等级赋分。</w:t>
      </w:r>
    </w:p>
    <w:p>
      <w:pPr>
        <w:numPr>
          <w:ilvl w:val="255"/>
          <w:numId w:val="0"/>
        </w:numPr>
        <w:adjustRightInd w:val="0"/>
        <w:snapToGrid w:val="0"/>
        <w:spacing w:line="360" w:lineRule="auto"/>
        <w:ind w:firstLine="480" w:firstLineChars="200"/>
        <w:jc w:val="both"/>
        <w:rPr>
          <w:rFonts w:hint="eastAsia" w:ascii="仿宋_GB2312" w:hAnsi="宋体" w:eastAsia="仿宋_GB2312" w:cs="Times New Roman"/>
          <w:sz w:val="24"/>
        </w:rPr>
      </w:pPr>
    </w:p>
    <w:p>
      <w:pPr>
        <w:numPr>
          <w:ilvl w:val="0"/>
          <w:numId w:val="3"/>
        </w:num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体育加分：</w:t>
      </w:r>
    </w:p>
    <w:p>
      <w:pPr>
        <w:numPr>
          <w:ilvl w:val="255"/>
          <w:numId w:val="0"/>
        </w:num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各级各类体育赛事单人或集体项目按下表加分。</w:t>
      </w:r>
    </w:p>
    <w:p>
      <w:pPr>
        <w:numPr>
          <w:ilvl w:val="255"/>
          <w:numId w:val="0"/>
        </w:numPr>
        <w:adjustRightInd w:val="0"/>
        <w:snapToGrid w:val="0"/>
        <w:spacing w:line="360" w:lineRule="auto"/>
        <w:ind w:firstLine="480" w:firstLineChars="200"/>
        <w:jc w:val="both"/>
        <w:rPr>
          <w:rFonts w:hint="eastAsia" w:ascii="仿宋_GB2312" w:hAnsi="宋体" w:eastAsia="仿宋_GB2312" w:cs="Times New Roman"/>
          <w:sz w:val="24"/>
        </w:rPr>
      </w:pPr>
    </w:p>
    <w:tbl>
      <w:tblPr>
        <w:tblStyle w:val="5"/>
        <w:tblW w:w="801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5"/>
        <w:gridCol w:w="1241"/>
        <w:gridCol w:w="1355"/>
        <w:gridCol w:w="1339"/>
        <w:gridCol w:w="1541"/>
        <w:gridCol w:w="104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485"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360" w:lineRule="auto"/>
              <w:ind w:firstLine="810" w:firstLineChars="450"/>
              <w:jc w:val="both"/>
              <w:rPr>
                <w:rFonts w:ascii="仿宋_GB2312" w:hAnsi="宋体" w:eastAsia="仿宋_GB2312" w:cs="Times New Roman"/>
                <w:sz w:val="18"/>
                <w:szCs w:val="18"/>
              </w:rPr>
            </w:pPr>
            <w:r>
              <w:rPr>
                <w:rFonts w:hint="eastAsia" w:ascii="仿宋_GB2312" w:hAnsi="宋体" w:eastAsia="仿宋_GB2312" w:cs="Times New Roman"/>
                <w:sz w:val="18"/>
                <w:szCs w:val="18"/>
              </w:rPr>
              <w:t>分值</w:t>
            </w:r>
          </w:p>
          <w:p>
            <w:pPr>
              <w:adjustRightInd w:val="0"/>
              <w:snapToGrid w:val="0"/>
              <w:spacing w:line="360" w:lineRule="auto"/>
              <w:ind w:firstLine="180" w:firstLineChars="100"/>
              <w:jc w:val="both"/>
              <w:rPr>
                <w:rFonts w:ascii="仿宋_GB2312" w:hAnsi="宋体" w:eastAsia="仿宋_GB2312" w:cs="Times New Roman"/>
                <w:sz w:val="18"/>
                <w:szCs w:val="18"/>
              </w:rPr>
            </w:pPr>
            <w:r>
              <w:rPr>
                <w:rFonts w:hint="eastAsia" w:ascii="仿宋_GB2312" w:hAnsi="宋体" w:eastAsia="仿宋_GB2312" w:cs="Times New Roman"/>
                <w:sz w:val="18"/>
                <w:szCs w:val="18"/>
              </w:rPr>
              <w:t>级别</w:t>
            </w:r>
          </w:p>
        </w:tc>
        <w:tc>
          <w:tcPr>
            <w:tcW w:w="1241" w:type="dxa"/>
            <w:tcBorders>
              <w:top w:val="single" w:color="auto" w:sz="4" w:space="0"/>
              <w:left w:val="single" w:color="auto" w:sz="4" w:space="0"/>
              <w:bottom w:val="single" w:color="auto" w:sz="4" w:space="0"/>
              <w:right w:val="single" w:color="auto" w:sz="4" w:space="0"/>
            </w:tcBorders>
            <w:vAlign w:val="center"/>
          </w:tcPr>
          <w:p>
            <w:pPr>
              <w:numPr>
                <w:ilvl w:val="0"/>
                <w:numId w:val="4"/>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二名</w:t>
            </w:r>
          </w:p>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/一等奖</w:t>
            </w:r>
          </w:p>
        </w:tc>
        <w:tc>
          <w:tcPr>
            <w:tcW w:w="1355"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三、四名</w:t>
            </w:r>
          </w:p>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/二等奖</w:t>
            </w:r>
          </w:p>
        </w:tc>
        <w:tc>
          <w:tcPr>
            <w:tcW w:w="1339"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五、六名</w:t>
            </w:r>
          </w:p>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/三等奖</w:t>
            </w:r>
          </w:p>
        </w:tc>
        <w:tc>
          <w:tcPr>
            <w:tcW w:w="1541"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七、八名</w:t>
            </w:r>
          </w:p>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/鼓励奖/优秀奖</w:t>
            </w:r>
          </w:p>
        </w:tc>
        <w:tc>
          <w:tcPr>
            <w:tcW w:w="1049"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参与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国家级</w:t>
            </w:r>
          </w:p>
        </w:tc>
        <w:tc>
          <w:tcPr>
            <w:tcW w:w="12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30</w:t>
            </w:r>
          </w:p>
        </w:tc>
        <w:tc>
          <w:tcPr>
            <w:tcW w:w="135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20</w:t>
            </w:r>
          </w:p>
        </w:tc>
        <w:tc>
          <w:tcPr>
            <w:tcW w:w="13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15</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10</w:t>
            </w:r>
          </w:p>
        </w:tc>
        <w:tc>
          <w:tcPr>
            <w:tcW w:w="10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省部级</w:t>
            </w:r>
          </w:p>
        </w:tc>
        <w:tc>
          <w:tcPr>
            <w:tcW w:w="12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20</w:t>
            </w:r>
          </w:p>
        </w:tc>
        <w:tc>
          <w:tcPr>
            <w:tcW w:w="135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15</w:t>
            </w:r>
          </w:p>
        </w:tc>
        <w:tc>
          <w:tcPr>
            <w:tcW w:w="13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10</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5</w:t>
            </w:r>
          </w:p>
        </w:tc>
        <w:tc>
          <w:tcPr>
            <w:tcW w:w="10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校级</w:t>
            </w:r>
          </w:p>
        </w:tc>
        <w:tc>
          <w:tcPr>
            <w:tcW w:w="12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8</w:t>
            </w:r>
          </w:p>
        </w:tc>
        <w:tc>
          <w:tcPr>
            <w:tcW w:w="135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6</w:t>
            </w:r>
          </w:p>
        </w:tc>
        <w:tc>
          <w:tcPr>
            <w:tcW w:w="13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4</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w:t>
            </w:r>
          </w:p>
        </w:tc>
        <w:tc>
          <w:tcPr>
            <w:tcW w:w="10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院级</w:t>
            </w:r>
          </w:p>
        </w:tc>
        <w:tc>
          <w:tcPr>
            <w:tcW w:w="12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4</w:t>
            </w:r>
          </w:p>
        </w:tc>
        <w:tc>
          <w:tcPr>
            <w:tcW w:w="135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3</w:t>
            </w:r>
          </w:p>
        </w:tc>
        <w:tc>
          <w:tcPr>
            <w:tcW w:w="133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w:t>
            </w:r>
          </w:p>
        </w:tc>
        <w:tc>
          <w:tcPr>
            <w:tcW w:w="10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0.5</w:t>
            </w:r>
          </w:p>
        </w:tc>
      </w:tr>
    </w:tbl>
    <w:p>
      <w:pPr>
        <w:adjustRightInd w:val="0"/>
        <w:snapToGrid w:val="0"/>
        <w:spacing w:line="360" w:lineRule="auto"/>
        <w:ind w:firstLine="480" w:firstLineChars="200"/>
        <w:jc w:val="both"/>
        <w:rPr>
          <w:rFonts w:ascii="仿宋_GB2312" w:hAnsi="宋体" w:eastAsia="仿宋_GB2312" w:cs="Times New Roman"/>
          <w:sz w:val="24"/>
        </w:rPr>
      </w:pP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（1）集体项目由参与者分享加分。主力队员每人按所得奖励分的全额进行计算，非主力队员每人按所得奖励分2/3；对于团体项目无法界定主力和非主力队员的情况，所有队员按1</w:t>
      </w:r>
      <w:r>
        <w:rPr>
          <w:rFonts w:ascii="仿宋_GB2312" w:hAnsi="宋体" w:eastAsia="仿宋_GB2312" w:cs="Times New Roman"/>
          <w:sz w:val="24"/>
        </w:rPr>
        <w:t>/2</w:t>
      </w:r>
      <w:r>
        <w:rPr>
          <w:rFonts w:hint="eastAsia" w:ascii="仿宋_GB2312" w:hAnsi="宋体" w:eastAsia="仿宋_GB2312" w:cs="Times New Roman"/>
          <w:sz w:val="24"/>
        </w:rPr>
        <w:t>加分，候补队员按非主力队员或1</w:t>
      </w:r>
      <w:r>
        <w:rPr>
          <w:rFonts w:ascii="仿宋_GB2312" w:hAnsi="宋体" w:eastAsia="仿宋_GB2312" w:cs="Times New Roman"/>
          <w:sz w:val="24"/>
        </w:rPr>
        <w:t>/2</w:t>
      </w:r>
      <w:r>
        <w:rPr>
          <w:rFonts w:hint="eastAsia" w:ascii="仿宋_GB2312" w:hAnsi="宋体" w:eastAsia="仿宋_GB2312" w:cs="Times New Roman"/>
          <w:sz w:val="24"/>
        </w:rPr>
        <w:t>加分</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候补队员人数</w:t>
      </w:r>
      <w:r>
        <w:rPr>
          <w:rFonts w:hint="eastAsia" w:ascii="仿宋_GB2312" w:hAnsi="宋体" w:eastAsia="仿宋_GB2312" w:cs="Times New Roman"/>
          <w:sz w:val="24"/>
        </w:rPr>
        <w:t>不超过赛制规定上场人数的</w:t>
      </w:r>
      <w:r>
        <w:rPr>
          <w:rFonts w:ascii="仿宋_GB2312" w:hAnsi="宋体" w:eastAsia="仿宋_GB2312" w:cs="Times New Roman"/>
          <w:sz w:val="24"/>
        </w:rPr>
        <w:t>20</w:t>
      </w:r>
      <w:r>
        <w:rPr>
          <w:rFonts w:hint="eastAsia" w:ascii="仿宋_GB2312" w:hAnsi="宋体" w:eastAsia="仿宋_GB2312" w:cs="Times New Roman"/>
          <w:sz w:val="24"/>
        </w:rPr>
        <w:t>%</w:t>
      </w:r>
      <w:r>
        <w:rPr>
          <w:rFonts w:hint="eastAsia" w:ascii="仿宋_GB2312" w:hAnsi="宋体" w:eastAsia="仿宋_GB2312" w:cs="Times New Roman"/>
          <w:sz w:val="24"/>
          <w:lang w:val="en-US" w:eastAsia="zh-CN"/>
        </w:rPr>
        <w:t>)</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（2）每人获多个奖项的可累加，但校级赛事加分上限不得超过20分。</w:t>
      </w:r>
    </w:p>
    <w:p>
      <w:pPr>
        <w:adjustRightInd w:val="0"/>
        <w:snapToGrid w:val="0"/>
        <w:spacing w:line="360" w:lineRule="auto"/>
        <w:ind w:firstLine="480" w:firstLineChars="200"/>
        <w:jc w:val="both"/>
        <w:rPr>
          <w:rFonts w:hint="eastAsia" w:ascii="仿宋_GB2312" w:hAnsi="宋体" w:eastAsia="仿宋_GB2312" w:cs="Times New Roman"/>
          <w:sz w:val="24"/>
        </w:rPr>
      </w:pPr>
    </w:p>
    <w:p>
      <w:pPr>
        <w:adjustRightInd w:val="0"/>
        <w:snapToGrid w:val="0"/>
        <w:spacing w:line="360" w:lineRule="auto"/>
        <w:ind w:firstLine="281" w:firstLineChars="1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（四）美育分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美育成绩（100 分）=文化艺术活动（70 分）+美育加分（30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1.文化艺术活动（7</w:t>
      </w:r>
      <w:r>
        <w:rPr>
          <w:rFonts w:ascii="仿宋_GB2312" w:hAnsi="宋体" w:eastAsia="仿宋_GB2312" w:cs="Times New Roman"/>
          <w:sz w:val="24"/>
        </w:rPr>
        <w:t>0</w:t>
      </w:r>
      <w:r>
        <w:rPr>
          <w:rFonts w:hint="eastAsia" w:ascii="仿宋_GB2312" w:hAnsi="宋体" w:eastAsia="仿宋_GB2312" w:cs="Times New Roman"/>
          <w:sz w:val="24"/>
        </w:rPr>
        <w:t>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（1）参加各级文艺演出，国家级、省部级、地市级、校级、院级每场分别计 50 分、30 分、20 分、10 分、5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（2）参加文化艺术类主题讲座及报告、人文艺术类文化活动，每次计 5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（3）参观艺术馆、美术馆、博物馆等，每次计 3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（4）文化艺术活动以第二课堂管理平台记录为准，未纳入第二课堂管理平台的，需由学院认定后予以计分。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2.美育加分（3</w:t>
      </w:r>
      <w:r>
        <w:rPr>
          <w:rFonts w:ascii="仿宋_GB2312" w:hAnsi="宋体" w:eastAsia="仿宋_GB2312" w:cs="Times New Roman"/>
          <w:sz w:val="24"/>
        </w:rPr>
        <w:t>0</w:t>
      </w:r>
      <w:r>
        <w:rPr>
          <w:rFonts w:hint="eastAsia" w:ascii="仿宋_GB2312" w:hAnsi="宋体" w:eastAsia="仿宋_GB2312" w:cs="Times New Roman"/>
          <w:sz w:val="24"/>
        </w:rPr>
        <w:t>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w:t>
      </w:r>
      <w:r>
        <w:rPr>
          <w:rFonts w:ascii="仿宋_GB2312" w:hAnsi="宋体" w:eastAsia="仿宋_GB2312" w:cs="Times New Roman"/>
          <w:sz w:val="24"/>
        </w:rPr>
        <w:t>文化艺术比赛</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ascii="仿宋_GB2312" w:hAnsi="宋体" w:eastAsia="仿宋_GB2312" w:cs="Times New Roman"/>
          <w:sz w:val="24"/>
        </w:rPr>
        <w:t>主要包括校内外组织的歌曲、舞蹈、书法、音乐及绘画等比赛活动。各级各类文化艺术赛事单人或集体项目按下表加分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hint="eastAsia" w:ascii="仿宋_GB2312" w:hAnsi="宋体" w:eastAsia="仿宋_GB2312" w:cs="Times New Roman"/>
          <w:sz w:val="24"/>
        </w:rPr>
      </w:pPr>
    </w:p>
    <w:tbl>
      <w:tblPr>
        <w:tblStyle w:val="5"/>
        <w:tblW w:w="830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54"/>
        <w:gridCol w:w="1713"/>
        <w:gridCol w:w="1634"/>
        <w:gridCol w:w="1701"/>
        <w:gridCol w:w="14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1754" w:type="dxa"/>
            <w:tcBorders>
              <w:top w:val="single" w:color="auto" w:sz="4" w:space="0"/>
              <w:left w:val="single" w:color="auto" w:sz="4" w:space="0"/>
              <w:bottom w:val="single" w:color="auto" w:sz="4" w:space="0"/>
              <w:right w:val="single" w:color="auto" w:sz="4" w:space="0"/>
              <w:tl2br w:val="single" w:color="auto" w:sz="4" w:space="0"/>
            </w:tcBorders>
            <w:vAlign w:val="center"/>
          </w:tcPr>
          <w:p>
            <w:pPr>
              <w:adjustRightInd w:val="0"/>
              <w:snapToGrid w:val="0"/>
              <w:spacing w:line="360" w:lineRule="auto"/>
              <w:ind w:firstLine="810" w:firstLineChars="450"/>
              <w:jc w:val="both"/>
              <w:rPr>
                <w:rFonts w:ascii="仿宋_GB2312" w:hAnsi="宋体" w:eastAsia="仿宋_GB2312" w:cs="Times New Roman"/>
                <w:sz w:val="18"/>
                <w:szCs w:val="18"/>
              </w:rPr>
            </w:pPr>
            <w:r>
              <w:rPr>
                <w:rFonts w:hint="eastAsia" w:ascii="仿宋_GB2312" w:hAnsi="宋体" w:eastAsia="仿宋_GB2312" w:cs="Times New Roman"/>
                <w:sz w:val="18"/>
                <w:szCs w:val="18"/>
              </w:rPr>
              <w:t>分值</w:t>
            </w:r>
          </w:p>
          <w:p>
            <w:pPr>
              <w:adjustRightInd w:val="0"/>
              <w:snapToGrid w:val="0"/>
              <w:spacing w:line="360" w:lineRule="auto"/>
              <w:ind w:firstLine="180" w:firstLineChars="100"/>
              <w:jc w:val="both"/>
              <w:rPr>
                <w:rFonts w:ascii="仿宋_GB2312" w:hAnsi="宋体" w:eastAsia="仿宋_GB2312" w:cs="Times New Roman"/>
                <w:sz w:val="18"/>
                <w:szCs w:val="18"/>
              </w:rPr>
            </w:pPr>
            <w:r>
              <w:rPr>
                <w:rFonts w:hint="eastAsia" w:ascii="仿宋_GB2312" w:hAnsi="宋体" w:eastAsia="仿宋_GB2312" w:cs="Times New Roman"/>
                <w:sz w:val="18"/>
                <w:szCs w:val="18"/>
              </w:rPr>
              <w:t>级别</w:t>
            </w:r>
          </w:p>
        </w:tc>
        <w:tc>
          <w:tcPr>
            <w:tcW w:w="1713"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一等奖</w:t>
            </w:r>
          </w:p>
        </w:tc>
        <w:tc>
          <w:tcPr>
            <w:tcW w:w="1634"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二等奖</w:t>
            </w:r>
          </w:p>
        </w:tc>
        <w:tc>
          <w:tcPr>
            <w:tcW w:w="1701"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三等奖</w:t>
            </w:r>
          </w:p>
        </w:tc>
        <w:tc>
          <w:tcPr>
            <w:tcW w:w="1499" w:type="dxa"/>
            <w:tcBorders>
              <w:top w:val="single" w:color="auto" w:sz="4" w:space="0"/>
              <w:left w:val="single" w:color="auto" w:sz="4" w:space="0"/>
              <w:bottom w:val="single" w:color="auto" w:sz="4" w:space="0"/>
              <w:right w:val="single" w:color="auto" w:sz="4" w:space="0"/>
            </w:tcBorders>
            <w:vAlign w:val="center"/>
          </w:tcPr>
          <w:p>
            <w:pPr>
              <w:numPr>
                <w:ilvl w:val="255"/>
                <w:numId w:val="0"/>
              </w:num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鼓励奖/优秀奖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5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国家级</w:t>
            </w:r>
          </w:p>
        </w:tc>
        <w:tc>
          <w:tcPr>
            <w:tcW w:w="17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30</w:t>
            </w:r>
          </w:p>
        </w:tc>
        <w:tc>
          <w:tcPr>
            <w:tcW w:w="163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25</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20</w:t>
            </w:r>
          </w:p>
        </w:tc>
        <w:tc>
          <w:tcPr>
            <w:tcW w:w="14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5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省部级</w:t>
            </w:r>
          </w:p>
        </w:tc>
        <w:tc>
          <w:tcPr>
            <w:tcW w:w="17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20</w:t>
            </w:r>
          </w:p>
        </w:tc>
        <w:tc>
          <w:tcPr>
            <w:tcW w:w="163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15</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10</w:t>
            </w:r>
          </w:p>
        </w:tc>
        <w:tc>
          <w:tcPr>
            <w:tcW w:w="14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5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校级</w:t>
            </w:r>
          </w:p>
        </w:tc>
        <w:tc>
          <w:tcPr>
            <w:tcW w:w="17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10</w:t>
            </w:r>
          </w:p>
        </w:tc>
        <w:tc>
          <w:tcPr>
            <w:tcW w:w="163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8</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6</w:t>
            </w:r>
          </w:p>
        </w:tc>
        <w:tc>
          <w:tcPr>
            <w:tcW w:w="14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5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院级</w:t>
            </w:r>
          </w:p>
        </w:tc>
        <w:tc>
          <w:tcPr>
            <w:tcW w:w="171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6</w:t>
            </w:r>
          </w:p>
        </w:tc>
        <w:tc>
          <w:tcPr>
            <w:tcW w:w="163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4</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2</w:t>
            </w:r>
          </w:p>
        </w:tc>
        <w:tc>
          <w:tcPr>
            <w:tcW w:w="149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both"/>
              <w:rPr>
                <w:rFonts w:ascii="仿宋_GB2312" w:hAnsi="宋体" w:eastAsia="仿宋_GB2312" w:cs="Times New Roman"/>
                <w:sz w:val="18"/>
                <w:szCs w:val="18"/>
              </w:rPr>
            </w:pPr>
            <w:r>
              <w:rPr>
                <w:rFonts w:hint="eastAsia" w:ascii="仿宋_GB2312" w:hAnsi="宋体" w:eastAsia="仿宋_GB2312" w:cs="Times New Roman"/>
                <w:sz w:val="18"/>
                <w:szCs w:val="18"/>
              </w:rPr>
              <w:t>1</w:t>
            </w:r>
          </w:p>
        </w:tc>
      </w:tr>
    </w:tbl>
    <w:p>
      <w:pPr>
        <w:adjustRightInd w:val="0"/>
        <w:snapToGrid w:val="0"/>
        <w:spacing w:line="360" w:lineRule="auto"/>
        <w:ind w:firstLine="480" w:firstLineChars="200"/>
        <w:jc w:val="both"/>
        <w:rPr>
          <w:rFonts w:ascii="仿宋_GB2312" w:hAnsi="宋体" w:eastAsia="仿宋_GB2312" w:cs="Times New Roman"/>
          <w:sz w:val="24"/>
        </w:rPr>
      </w:pP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文化艺术作品</w:t>
      </w:r>
    </w:p>
    <w:p>
      <w:pPr>
        <w:adjustRightInd w:val="0"/>
        <w:snapToGrid w:val="0"/>
        <w:spacing w:line="360" w:lineRule="auto"/>
        <w:ind w:firstLine="480" w:firstLineChars="200"/>
        <w:jc w:val="both"/>
        <w:rPr>
          <w:rFonts w:ascii="仿宋_GB2312" w:hAnsi="宋体" w:eastAsia="仿宋_GB2312" w:cs="Times New Roman"/>
          <w:sz w:val="24"/>
        </w:rPr>
      </w:pPr>
      <w:r>
        <w:rPr>
          <w:rFonts w:ascii="仿宋_GB2312" w:hAnsi="宋体" w:eastAsia="仿宋_GB2312" w:cs="Times New Roman"/>
          <w:sz w:val="24"/>
        </w:rPr>
        <w:t>作品主要包括文学、绘画、书法、音乐、摄影等。发表的平台包括公开出版发行的国家级、省部级、地市级和</w:t>
      </w:r>
      <w:r>
        <w:rPr>
          <w:rFonts w:hint="eastAsia" w:ascii="仿宋_GB2312" w:hAnsi="宋体" w:eastAsia="仿宋_GB2312" w:cs="Times New Roman"/>
          <w:sz w:val="24"/>
          <w:lang w:val="en-US" w:eastAsia="zh-CN"/>
        </w:rPr>
        <w:t>校级及以上</w:t>
      </w:r>
      <w:r>
        <w:rPr>
          <w:rFonts w:ascii="仿宋_GB2312" w:hAnsi="宋体" w:eastAsia="仿宋_GB2312" w:cs="Times New Roman"/>
          <w:sz w:val="24"/>
        </w:rPr>
        <w:t>纸质媒体，国家级、省部级、地市级和校级</w:t>
      </w:r>
      <w:r>
        <w:rPr>
          <w:rFonts w:hint="eastAsia" w:ascii="仿宋_GB2312" w:hAnsi="宋体" w:eastAsia="仿宋_GB2312" w:cs="Times New Roman"/>
          <w:sz w:val="24"/>
          <w:lang w:val="en-US" w:eastAsia="zh-CN"/>
        </w:rPr>
        <w:t>及以上</w:t>
      </w:r>
      <w:r>
        <w:rPr>
          <w:rFonts w:ascii="仿宋_GB2312" w:hAnsi="宋体" w:eastAsia="仿宋_GB2312" w:cs="Times New Roman"/>
          <w:sz w:val="24"/>
        </w:rPr>
        <w:t>的官方主流媒体网站（或相当于）。国家级、省部级、地市级和</w:t>
      </w:r>
      <w:r>
        <w:rPr>
          <w:rFonts w:hint="eastAsia" w:ascii="仿宋_GB2312" w:hAnsi="宋体" w:eastAsia="仿宋_GB2312" w:cs="Times New Roman"/>
          <w:sz w:val="24"/>
          <w:lang w:val="en-US" w:eastAsia="zh-CN"/>
        </w:rPr>
        <w:t>校级及以上</w:t>
      </w:r>
      <w:r>
        <w:rPr>
          <w:rFonts w:ascii="仿宋_GB2312" w:hAnsi="宋体" w:eastAsia="仿宋_GB2312" w:cs="Times New Roman"/>
          <w:sz w:val="24"/>
        </w:rPr>
        <w:t>每项作品，分别计入 10 分、8 分、 6 分、4 分。</w:t>
      </w:r>
    </w:p>
    <w:p>
      <w:pPr>
        <w:numPr>
          <w:ilvl w:val="0"/>
          <w:numId w:val="5"/>
        </w:numPr>
        <w:adjustRightInd w:val="0"/>
        <w:snapToGrid w:val="0"/>
        <w:spacing w:line="360" w:lineRule="auto"/>
        <w:ind w:firstLine="480" w:firstLineChars="200"/>
        <w:jc w:val="both"/>
        <w:rPr>
          <w:rFonts w:ascii="仿宋_GB2312" w:hAnsi="宋体" w:eastAsia="仿宋_GB2312" w:cs="Times New Roman"/>
          <w:sz w:val="24"/>
        </w:rPr>
      </w:pPr>
      <w:r>
        <w:rPr>
          <w:rFonts w:ascii="仿宋_GB2312" w:hAnsi="宋体" w:eastAsia="仿宋_GB2312" w:cs="Times New Roman"/>
          <w:sz w:val="24"/>
        </w:rPr>
        <w:t>同一比赛仅取最高奖励级别加分，各项加分可累加，但校级及以下赛事和文化艺术作品加分上限不超过 20 分。</w:t>
      </w:r>
    </w:p>
    <w:p>
      <w:pPr>
        <w:adjustRightInd w:val="0"/>
        <w:snapToGrid w:val="0"/>
        <w:spacing w:line="360" w:lineRule="auto"/>
        <w:jc w:val="both"/>
        <w:rPr>
          <w:rFonts w:hint="eastAsia" w:ascii="仿宋_GB2312" w:hAnsi="宋体" w:eastAsia="仿宋_GB2312" w:cs="Times New Roman"/>
          <w:sz w:val="24"/>
        </w:rPr>
      </w:pPr>
    </w:p>
    <w:p>
      <w:pPr>
        <w:numPr>
          <w:ilvl w:val="0"/>
          <w:numId w:val="6"/>
        </w:numPr>
        <w:adjustRightInd w:val="0"/>
        <w:snapToGrid w:val="0"/>
        <w:spacing w:line="360" w:lineRule="auto"/>
        <w:ind w:firstLine="562" w:firstLineChars="200"/>
        <w:jc w:val="both"/>
        <w:rPr>
          <w:rFonts w:ascii="仿宋_GB2312" w:hAnsi="宋体" w:eastAsia="仿宋_GB2312" w:cs="Times New Roman"/>
          <w:b/>
          <w:sz w:val="28"/>
          <w:szCs w:val="28"/>
        </w:rPr>
      </w:pPr>
      <w:r>
        <w:rPr>
          <w:rFonts w:hint="eastAsia" w:ascii="仿宋_GB2312" w:hAnsi="宋体" w:eastAsia="仿宋_GB2312" w:cs="Times New Roman"/>
          <w:b/>
          <w:sz w:val="28"/>
          <w:szCs w:val="28"/>
        </w:rPr>
        <w:t>劳育分</w:t>
      </w:r>
    </w:p>
    <w:p>
      <w:pPr>
        <w:adjustRightInd w:val="0"/>
        <w:snapToGrid w:val="0"/>
        <w:spacing w:line="360" w:lineRule="auto"/>
        <w:ind w:firstLine="480" w:firstLineChars="200"/>
        <w:jc w:val="both"/>
        <w:rPr>
          <w:rFonts w:ascii="仿宋_GB2312" w:hAnsi="宋体" w:eastAsia="仿宋_GB2312" w:cs="Times New Roman"/>
          <w:sz w:val="24"/>
        </w:rPr>
      </w:pPr>
      <w:r>
        <w:rPr>
          <w:rFonts w:ascii="仿宋_GB2312" w:hAnsi="宋体" w:eastAsia="仿宋_GB2312" w:cs="Times New Roman"/>
          <w:sz w:val="24"/>
        </w:rPr>
        <w:t>劳育成绩</w:t>
      </w:r>
      <w:r>
        <w:rPr>
          <w:rFonts w:hint="eastAsia" w:ascii="仿宋_GB2312" w:hAnsi="宋体" w:eastAsia="仿宋_GB2312" w:cs="Times New Roman"/>
          <w:sz w:val="24"/>
        </w:rPr>
        <w:t>（1</w:t>
      </w:r>
      <w:r>
        <w:rPr>
          <w:rFonts w:ascii="仿宋_GB2312" w:hAnsi="宋体" w:eastAsia="仿宋_GB2312" w:cs="Times New Roman"/>
          <w:sz w:val="24"/>
        </w:rPr>
        <w:t>00</w:t>
      </w:r>
      <w:r>
        <w:rPr>
          <w:rFonts w:hint="eastAsia" w:ascii="仿宋_GB2312" w:hAnsi="宋体" w:eastAsia="仿宋_GB2312" w:cs="Times New Roman"/>
          <w:sz w:val="24"/>
        </w:rPr>
        <w:t>分）</w:t>
      </w:r>
      <w:r>
        <w:rPr>
          <w:rFonts w:ascii="仿宋_GB2312" w:hAnsi="宋体" w:eastAsia="仿宋_GB2312" w:cs="Times New Roman"/>
          <w:sz w:val="24"/>
        </w:rPr>
        <w:t>=劳动实践（70 分）+劳育加分（30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lang w:val="en-US" w:eastAsia="zh-CN"/>
        </w:rPr>
        <w:t>1.</w:t>
      </w:r>
      <w:r>
        <w:rPr>
          <w:rFonts w:ascii="仿宋_GB2312" w:hAnsi="宋体" w:eastAsia="仿宋_GB2312" w:cs="Times New Roman"/>
          <w:sz w:val="24"/>
        </w:rPr>
        <w:t>劳动实践（70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w:t>
      </w:r>
      <w:r>
        <w:rPr>
          <w:rFonts w:ascii="仿宋_GB2312" w:hAnsi="宋体" w:eastAsia="仿宋_GB2312" w:cs="Times New Roman"/>
          <w:sz w:val="24"/>
        </w:rPr>
        <w:t>维护宿舍卫生，积极参加宿舍卫生清扫（10 分）。在校院两级宿舍卫生检查中，不合格一次扣 2 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积极参加学校、学院、班级等组织的各类校园劳动实践活动，包括校园卫生、垃圾分类、教室清洁、实验室维护、食堂劳动、勤工助学（劳动类）等，每学年劳动时长达到 20 小时者计 20 分，低于 20 小时者折算计分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w:t>
      </w:r>
      <w:r>
        <w:rPr>
          <w:rFonts w:ascii="仿宋_GB2312" w:hAnsi="宋体" w:eastAsia="仿宋_GB2312" w:cs="Times New Roman"/>
          <w:sz w:val="24"/>
        </w:rPr>
        <w:t>积极参加学校、学院、班级等组织开展的劳动实践类专题讲座或报告（10 分），每学年达到 4 次者计 10 分，低于 4 次者折算计分，以第二课堂管理平台记录为准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（4）</w:t>
      </w:r>
      <w:r>
        <w:rPr>
          <w:rFonts w:ascii="仿宋_GB2312" w:hAnsi="宋体" w:eastAsia="仿宋_GB2312" w:cs="Times New Roman"/>
          <w:sz w:val="24"/>
        </w:rPr>
        <w:t>践行“奉献、友爱、互助、进步”的青年志愿者精神，积极参加学校、学院、班级等组织的各类志愿服务活动，每学年志愿服务时长达到 20 小时者计 20 分，低于 20 小时者折算计分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hint="eastAsia" w:ascii="仿宋_GB2312" w:hAnsi="宋体" w:eastAsia="仿宋_GB2312" w:cs="Times New Roman"/>
          <w:sz w:val="24"/>
        </w:rPr>
      </w:pPr>
      <w:r>
        <w:rPr>
          <w:rFonts w:hint="eastAsia" w:ascii="仿宋_GB2312" w:hAnsi="宋体" w:eastAsia="仿宋_GB2312" w:cs="Times New Roman"/>
          <w:sz w:val="24"/>
        </w:rPr>
        <w:t>（5）。除与专业相关的实习实践外，大一、大二学年至少参加</w:t>
      </w:r>
      <w:r>
        <w:rPr>
          <w:rFonts w:ascii="仿宋_GB2312" w:hAnsi="宋体" w:eastAsia="仿宋_GB2312" w:cs="Times New Roman"/>
          <w:sz w:val="24"/>
        </w:rPr>
        <w:t>1次</w:t>
      </w:r>
      <w:r>
        <w:rPr>
          <w:rFonts w:hint="eastAsia" w:ascii="仿宋_GB2312" w:hAnsi="宋体" w:eastAsia="仿宋_GB2312" w:cs="Times New Roman"/>
          <w:sz w:val="24"/>
        </w:rPr>
        <w:t>由个人立项或者</w:t>
      </w:r>
      <w:r>
        <w:rPr>
          <w:rFonts w:ascii="仿宋_GB2312" w:hAnsi="宋体" w:eastAsia="仿宋_GB2312" w:cs="Times New Roman"/>
          <w:sz w:val="24"/>
        </w:rPr>
        <w:t>学院</w:t>
      </w:r>
      <w:r>
        <w:rPr>
          <w:rFonts w:hint="eastAsia" w:ascii="仿宋_GB2312" w:hAnsi="宋体" w:eastAsia="仿宋_GB2312" w:cs="Times New Roman"/>
          <w:sz w:val="24"/>
        </w:rPr>
        <w:t>、</w:t>
      </w:r>
      <w:r>
        <w:rPr>
          <w:rFonts w:ascii="仿宋_GB2312" w:hAnsi="宋体" w:eastAsia="仿宋_GB2312" w:cs="Times New Roman"/>
          <w:sz w:val="24"/>
        </w:rPr>
        <w:t>学校牵头组织的社会实践活动，并圆满完成结题答辩</w:t>
      </w:r>
      <w:r>
        <w:rPr>
          <w:rFonts w:hint="eastAsia" w:ascii="仿宋_GB2312" w:hAnsi="宋体" w:eastAsia="仿宋_GB2312" w:cs="Times New Roman"/>
          <w:sz w:val="24"/>
        </w:rPr>
        <w:t>。</w:t>
      </w:r>
      <w:r>
        <w:rPr>
          <w:rFonts w:ascii="仿宋_GB2312" w:hAnsi="宋体" w:eastAsia="仿宋_GB2312" w:cs="Times New Roman"/>
          <w:sz w:val="24"/>
        </w:rPr>
        <w:t>完成当学年社会实践任务的计 10 分，未完成社会实践任务</w:t>
      </w:r>
      <w:r>
        <w:rPr>
          <w:rFonts w:hint="eastAsia" w:ascii="仿宋_GB2312" w:hAnsi="宋体" w:eastAsia="仿宋_GB2312" w:cs="Times New Roman"/>
          <w:sz w:val="24"/>
        </w:rPr>
        <w:t>或</w:t>
      </w:r>
      <w:r>
        <w:rPr>
          <w:rFonts w:ascii="仿宋_GB2312" w:hAnsi="宋体" w:eastAsia="仿宋_GB2312" w:cs="Times New Roman"/>
          <w:sz w:val="24"/>
        </w:rPr>
        <w:t>经团委鉴定不合格者不计分</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劳育加分（30 分）</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（1）</w:t>
      </w:r>
      <w:r>
        <w:rPr>
          <w:rFonts w:ascii="仿宋_GB2312" w:hAnsi="宋体" w:eastAsia="仿宋_GB2312" w:cs="Times New Roman"/>
          <w:sz w:val="24"/>
        </w:rPr>
        <w:t>个人在志愿服务、劳动实践等活动中获评国家级、省部级、地市级、校级、院级荣誉的，分别计入 10 分、8 分、 6 分、4 分、2 分。同一项目或活动仅取最高奖励级别加分，获得多项荣誉的，可累加</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努力提高社会实践能力，在社会实践活动中个人获得国家级、省部级、地市级、校级、院级荣誉的，分别计 10 分、8 分、6 分、4 分、2 分，集体获奖团队每人计入相应分数。同一项目或活动仅取最高奖励级别加分，获得多项荣誉的，可累加</w:t>
      </w:r>
      <w:r>
        <w:rPr>
          <w:rFonts w:hint="eastAsia" w:ascii="仿宋_GB2312" w:hAnsi="宋体" w:eastAsia="仿宋_GB2312" w:cs="Times New Roman"/>
          <w:sz w:val="24"/>
        </w:rPr>
        <w:t>；</w:t>
      </w:r>
    </w:p>
    <w:p>
      <w:pPr>
        <w:adjustRightInd w:val="0"/>
        <w:snapToGrid w:val="0"/>
        <w:spacing w:line="360" w:lineRule="auto"/>
        <w:ind w:firstLine="480" w:firstLineChars="200"/>
        <w:jc w:val="both"/>
        <w:rPr>
          <w:rFonts w:ascii="仿宋_GB2312" w:hAnsi="宋体" w:eastAsia="仿宋_GB2312" w:cs="Times New Roman"/>
          <w:sz w:val="24"/>
        </w:rPr>
      </w:pPr>
      <w:r>
        <w:rPr>
          <w:rFonts w:hint="eastAsia" w:ascii="仿宋_GB2312" w:hAnsi="宋体" w:eastAsia="仿宋_GB2312" w:cs="Times New Roman"/>
          <w:sz w:val="24"/>
        </w:rPr>
        <w:t>（3）</w:t>
      </w:r>
      <w:r>
        <w:rPr>
          <w:rFonts w:ascii="仿宋_GB2312" w:hAnsi="宋体" w:eastAsia="仿宋_GB2312" w:cs="Times New Roman"/>
          <w:sz w:val="24"/>
        </w:rPr>
        <w:t>积极参加培养方案以外的企业、专业实训基地、实习基地等各类实习的，经学院认定，可加 1-5 分</w:t>
      </w:r>
      <w:r>
        <w:rPr>
          <w:rFonts w:hint="eastAsia" w:ascii="仿宋_GB2312" w:hAnsi="宋体" w:eastAsia="仿宋_GB2312" w:cs="Times New Roman"/>
          <w:sz w:val="24"/>
        </w:rPr>
        <w:t>。</w:t>
      </w:r>
    </w:p>
    <w:p>
      <w:pPr>
        <w:adjustRightInd w:val="0"/>
        <w:snapToGrid w:val="0"/>
        <w:spacing w:line="360" w:lineRule="auto"/>
        <w:ind w:firstLine="482" w:firstLineChars="200"/>
        <w:jc w:val="both"/>
        <w:rPr>
          <w:rFonts w:ascii="仿宋_GB2312" w:hAnsi="宋体" w:eastAsia="仿宋_GB2312" w:cs="Times New Roman"/>
          <w:b/>
          <w:sz w:val="24"/>
          <w:szCs w:val="24"/>
        </w:rPr>
      </w:pPr>
      <w:r>
        <w:rPr>
          <w:rFonts w:hint="eastAsia" w:ascii="仿宋_GB2312" w:hAnsi="宋体" w:eastAsia="仿宋_GB2312" w:cs="Times New Roman"/>
          <w:b/>
          <w:sz w:val="24"/>
          <w:szCs w:val="24"/>
        </w:rPr>
        <w:t>五、体育特长生和高水平运动员的综合测评办法另行制定。</w:t>
      </w:r>
    </w:p>
    <w:p>
      <w:pPr>
        <w:adjustRightInd w:val="0"/>
        <w:snapToGrid w:val="0"/>
        <w:spacing w:line="360" w:lineRule="auto"/>
        <w:ind w:firstLine="482" w:firstLineChars="200"/>
        <w:jc w:val="both"/>
        <w:rPr>
          <w:rFonts w:ascii="仿宋_GB2312" w:hAnsi="宋体" w:eastAsia="仿宋_GB2312" w:cs="Times New Roman"/>
          <w:b/>
          <w:sz w:val="24"/>
          <w:szCs w:val="24"/>
        </w:rPr>
      </w:pPr>
      <w:r>
        <w:rPr>
          <w:rFonts w:hint="eastAsia" w:ascii="仿宋_GB2312" w:hAnsi="宋体" w:eastAsia="仿宋_GB2312" w:cs="Times New Roman"/>
          <w:b/>
          <w:sz w:val="24"/>
          <w:szCs w:val="24"/>
        </w:rPr>
        <w:t>六、免修课程成绩、英语分级成绩按照教务处制订的办法执行。</w:t>
      </w:r>
    </w:p>
    <w:p>
      <w:pPr>
        <w:adjustRightInd w:val="0"/>
        <w:snapToGrid w:val="0"/>
        <w:spacing w:line="360" w:lineRule="auto"/>
        <w:ind w:firstLine="482" w:firstLineChars="200"/>
        <w:jc w:val="both"/>
        <w:rPr>
          <w:rFonts w:hint="eastAsia" w:ascii="仿宋_GB2312" w:hAnsi="宋体" w:eastAsia="仿宋_GB2312" w:cs="Times New Roman"/>
          <w:b/>
          <w:sz w:val="24"/>
          <w:szCs w:val="24"/>
        </w:rPr>
      </w:pPr>
      <w:r>
        <w:rPr>
          <w:rFonts w:hint="eastAsia" w:ascii="仿宋_GB2312" w:hAnsi="宋体" w:eastAsia="仿宋_GB2312" w:cs="Times New Roman"/>
          <w:b/>
          <w:sz w:val="24"/>
          <w:szCs w:val="24"/>
        </w:rPr>
        <w:t>七、本办法经学院党政联席会讨论通过，自发布之日起从本科2024级</w:t>
      </w:r>
      <w:r>
        <w:rPr>
          <w:rFonts w:ascii="仿宋_GB2312" w:hAnsi="宋体" w:eastAsia="仿宋_GB2312" w:cs="Times New Roman"/>
          <w:b/>
          <w:sz w:val="24"/>
          <w:szCs w:val="24"/>
        </w:rPr>
        <w:t>开始</w:t>
      </w:r>
      <w:r>
        <w:rPr>
          <w:rFonts w:hint="eastAsia" w:ascii="仿宋_GB2312" w:hAnsi="宋体" w:eastAsia="仿宋_GB2312" w:cs="Times New Roman"/>
          <w:b/>
          <w:sz w:val="24"/>
          <w:szCs w:val="24"/>
        </w:rPr>
        <w:t>实施，2023 年及以前入学学生按原有办法执行。由机械与储运工程学院本科生综合测评领导小组负责解释。</w:t>
      </w:r>
    </w:p>
    <w:p>
      <w:pPr>
        <w:adjustRightInd w:val="0"/>
        <w:snapToGrid w:val="0"/>
        <w:spacing w:line="360" w:lineRule="auto"/>
        <w:ind w:firstLine="562" w:firstLineChars="200"/>
        <w:jc w:val="both"/>
        <w:rPr>
          <w:rFonts w:hint="eastAsia" w:ascii="仿宋_GB2312" w:hAnsi="宋体" w:eastAsia="仿宋_GB2312" w:cs="Times New Roman"/>
          <w:b/>
          <w:sz w:val="28"/>
          <w:szCs w:val="28"/>
        </w:rPr>
      </w:pPr>
    </w:p>
    <w:p>
      <w:pPr>
        <w:adjustRightInd w:val="0"/>
        <w:snapToGrid w:val="0"/>
        <w:spacing w:line="360" w:lineRule="auto"/>
        <w:ind w:firstLine="562" w:firstLineChars="200"/>
        <w:jc w:val="both"/>
        <w:rPr>
          <w:rFonts w:hint="eastAsia" w:ascii="仿宋_GB2312" w:hAnsi="宋体" w:eastAsia="仿宋_GB2312" w:cs="Times New Roman"/>
          <w:b/>
          <w:sz w:val="28"/>
          <w:szCs w:val="28"/>
        </w:rPr>
      </w:pPr>
    </w:p>
    <w:p>
      <w:pPr>
        <w:adjustRightInd w:val="0"/>
        <w:snapToGrid w:val="0"/>
        <w:spacing w:line="360" w:lineRule="auto"/>
        <w:jc w:val="right"/>
        <w:rPr>
          <w:rFonts w:ascii="仿宋_GB2312" w:hAnsi="宋体" w:eastAsia="仿宋_GB2312" w:cs="Times New Roman"/>
          <w:b/>
          <w:sz w:val="24"/>
          <w:szCs w:val="24"/>
        </w:rPr>
      </w:pPr>
      <w:r>
        <w:rPr>
          <w:rFonts w:hint="eastAsia" w:ascii="仿宋_GB2312" w:hAnsi="宋体" w:eastAsia="仿宋_GB2312" w:cs="Times New Roman"/>
          <w:b/>
          <w:sz w:val="24"/>
          <w:szCs w:val="24"/>
          <w:lang w:val="en-US" w:eastAsia="zh-CN"/>
        </w:rPr>
        <w:t>中国石油大学（北京）</w:t>
      </w:r>
      <w:r>
        <w:rPr>
          <w:rFonts w:hint="eastAsia" w:ascii="仿宋_GB2312" w:hAnsi="宋体" w:eastAsia="仿宋_GB2312" w:cs="Times New Roman"/>
          <w:b/>
          <w:sz w:val="24"/>
          <w:szCs w:val="24"/>
        </w:rPr>
        <w:t>机械与储运工程学院</w:t>
      </w:r>
    </w:p>
    <w:p>
      <w:pPr>
        <w:adjustRightInd w:val="0"/>
        <w:snapToGrid w:val="0"/>
        <w:spacing w:line="360" w:lineRule="auto"/>
        <w:jc w:val="right"/>
        <w:rPr>
          <w:rFonts w:hint="eastAsia" w:ascii="仿宋_GB2312" w:hAnsi="宋体" w:eastAsia="仿宋_GB2312" w:cs="Times New Roman"/>
          <w:b/>
          <w:sz w:val="24"/>
          <w:szCs w:val="24"/>
        </w:rPr>
      </w:pPr>
    </w:p>
    <w:p>
      <w:pPr>
        <w:adjustRightInd w:val="0"/>
        <w:snapToGrid w:val="0"/>
        <w:spacing w:line="360" w:lineRule="auto"/>
        <w:jc w:val="right"/>
        <w:rPr>
          <w:rFonts w:ascii="仿宋_GB2312" w:hAnsi="宋体" w:eastAsia="仿宋_GB2312" w:cs="Times New Roman"/>
          <w:b/>
          <w:sz w:val="28"/>
          <w:szCs w:val="28"/>
        </w:rPr>
      </w:pPr>
      <w:r>
        <w:rPr>
          <w:rFonts w:hint="eastAsia" w:ascii="仿宋_GB2312" w:hAnsi="宋体" w:eastAsia="仿宋_GB2312" w:cs="Times New Roman"/>
          <w:b/>
          <w:sz w:val="24"/>
          <w:szCs w:val="24"/>
        </w:rPr>
        <w:t>2</w:t>
      </w:r>
      <w:r>
        <w:rPr>
          <w:rFonts w:ascii="仿宋_GB2312" w:hAnsi="宋体" w:eastAsia="仿宋_GB2312" w:cs="Times New Roman"/>
          <w:b/>
          <w:sz w:val="24"/>
          <w:szCs w:val="24"/>
        </w:rPr>
        <w:t>02</w:t>
      </w:r>
      <w:r>
        <w:rPr>
          <w:rFonts w:hint="eastAsia" w:ascii="仿宋_GB2312" w:hAnsi="宋体" w:eastAsia="仿宋_GB2312" w:cs="Times New Roman"/>
          <w:b/>
          <w:sz w:val="24"/>
          <w:szCs w:val="24"/>
          <w:lang w:val="en-US" w:eastAsia="zh-CN"/>
        </w:rPr>
        <w:t>5</w:t>
      </w:r>
      <w:r>
        <w:rPr>
          <w:rFonts w:hint="eastAsia" w:ascii="仿宋_GB2312" w:hAnsi="宋体" w:eastAsia="仿宋_GB2312" w:cs="Times New Roman"/>
          <w:b/>
          <w:sz w:val="24"/>
          <w:szCs w:val="24"/>
        </w:rPr>
        <w:t>年</w:t>
      </w:r>
      <w:r>
        <w:rPr>
          <w:rFonts w:hint="eastAsia" w:ascii="仿宋_GB2312" w:hAnsi="宋体" w:eastAsia="仿宋_GB2312" w:cs="Times New Roman"/>
          <w:b/>
          <w:sz w:val="24"/>
          <w:szCs w:val="24"/>
          <w:lang w:val="en-US" w:eastAsia="zh-CN"/>
        </w:rPr>
        <w:t>3</w:t>
      </w:r>
      <w:r>
        <w:rPr>
          <w:rFonts w:hint="eastAsia" w:ascii="仿宋_GB2312" w:hAnsi="宋体" w:eastAsia="仿宋_GB2312" w:cs="Times New Roman"/>
          <w:b/>
          <w:sz w:val="24"/>
          <w:szCs w:val="24"/>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7ED4CFE-9A68-4CC8-BA94-CCC43F14C41C}"/>
  </w:font>
  <w:font w:name="黑体">
    <w:panose1 w:val="02010609060101010101"/>
    <w:charset w:val="86"/>
    <w:family w:val="auto"/>
    <w:pitch w:val="default"/>
    <w:sig w:usb0="800002BF" w:usb1="38CF7CFA" w:usb2="00000016" w:usb3="00000000" w:csb0="00040001" w:csb1="00000000"/>
    <w:embedRegular r:id="rId2" w:fontKey="{6D6F299C-0FD8-4411-B367-F71D74FB74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embedRegular r:id="rId3" w:fontKey="{F260177D-894F-4072-A1C7-51C5E4A73D09}"/>
  </w:font>
  <w:font w:name="方正仿宋_GB2312">
    <w:panose1 w:val="02000000000000000000"/>
    <w:charset w:val="86"/>
    <w:family w:val="auto"/>
    <w:pitch w:val="default"/>
    <w:sig w:usb0="A00002BF" w:usb1="184F6CFA" w:usb2="00000012" w:usb3="00000000" w:csb0="00040001" w:csb1="00000000"/>
    <w:embedRegular r:id="rId4" w:fontKey="{1556A782-B910-4035-8ABC-DB7E877065AB}"/>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7FDA06"/>
    <w:multiLevelType w:val="singleLevel"/>
    <w:tmpl w:val="A37FDA06"/>
    <w:lvl w:ilvl="0" w:tentative="0">
      <w:start w:val="3"/>
      <w:numFmt w:val="decimal"/>
      <w:suff w:val="nothing"/>
      <w:lvlText w:val="（%1）"/>
      <w:lvlJc w:val="left"/>
    </w:lvl>
  </w:abstractNum>
  <w:abstractNum w:abstractNumId="1">
    <w:nsid w:val="A9EBCC6A"/>
    <w:multiLevelType w:val="singleLevel"/>
    <w:tmpl w:val="A9EBCC6A"/>
    <w:lvl w:ilvl="0" w:tentative="0">
      <w:start w:val="1"/>
      <w:numFmt w:val="decimal"/>
      <w:suff w:val="nothing"/>
      <w:lvlText w:val="%1、"/>
      <w:lvlJc w:val="left"/>
    </w:lvl>
  </w:abstractNum>
  <w:abstractNum w:abstractNumId="2">
    <w:nsid w:val="C1ECDE2F"/>
    <w:multiLevelType w:val="singleLevel"/>
    <w:tmpl w:val="C1ECDE2F"/>
    <w:lvl w:ilvl="0" w:tentative="0">
      <w:start w:val="5"/>
      <w:numFmt w:val="chineseCounting"/>
      <w:suff w:val="nothing"/>
      <w:lvlText w:val="（%1）"/>
      <w:lvlJc w:val="left"/>
      <w:rPr>
        <w:rFonts w:hint="eastAsia"/>
      </w:rPr>
    </w:lvl>
  </w:abstractNum>
  <w:abstractNum w:abstractNumId="3">
    <w:nsid w:val="3625E4D1"/>
    <w:multiLevelType w:val="singleLevel"/>
    <w:tmpl w:val="3625E4D1"/>
    <w:lvl w:ilvl="0" w:tentative="0">
      <w:start w:val="2"/>
      <w:numFmt w:val="decimal"/>
      <w:suff w:val="nothing"/>
      <w:lvlText w:val="%1、"/>
      <w:lvlJc w:val="left"/>
    </w:lvl>
  </w:abstractNum>
  <w:abstractNum w:abstractNumId="4">
    <w:nsid w:val="67E5C615"/>
    <w:multiLevelType w:val="singleLevel"/>
    <w:tmpl w:val="67E5C615"/>
    <w:lvl w:ilvl="0" w:tentative="0">
      <w:start w:val="1"/>
      <w:numFmt w:val="chineseCounting"/>
      <w:suff w:val="nothing"/>
      <w:lvlText w:val="%1、"/>
      <w:lvlJc w:val="left"/>
      <w:rPr>
        <w:rFonts w:hint="eastAsia"/>
      </w:rPr>
    </w:lvl>
  </w:abstractNum>
  <w:abstractNum w:abstractNumId="5">
    <w:nsid w:val="6AF443C3"/>
    <w:multiLevelType w:val="singleLevel"/>
    <w:tmpl w:val="6AF443C3"/>
    <w:lvl w:ilvl="0" w:tentative="0">
      <w:start w:val="3"/>
      <w:numFmt w:val="decimal"/>
      <w:lvlText w:val="%1."/>
      <w:lvlJc w:val="left"/>
      <w:pPr>
        <w:tabs>
          <w:tab w:val="left" w:pos="312"/>
        </w:tabs>
      </w:p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kZWM0NTg2NWEzMTc0NTIwNjkyODViNWVmNTEyMWEifQ=="/>
  </w:docVars>
  <w:rsids>
    <w:rsidRoot w:val="00095657"/>
    <w:rsid w:val="00014155"/>
    <w:rsid w:val="00023E47"/>
    <w:rsid w:val="00025BDD"/>
    <w:rsid w:val="0002779C"/>
    <w:rsid w:val="000342E4"/>
    <w:rsid w:val="00034CC4"/>
    <w:rsid w:val="00042F9F"/>
    <w:rsid w:val="00054E94"/>
    <w:rsid w:val="00075258"/>
    <w:rsid w:val="0007710A"/>
    <w:rsid w:val="00082E1F"/>
    <w:rsid w:val="000841AC"/>
    <w:rsid w:val="0008792E"/>
    <w:rsid w:val="00095657"/>
    <w:rsid w:val="000B19FF"/>
    <w:rsid w:val="000B6D9E"/>
    <w:rsid w:val="000E0B87"/>
    <w:rsid w:val="000E124C"/>
    <w:rsid w:val="000E3D50"/>
    <w:rsid w:val="000E49BD"/>
    <w:rsid w:val="000F4BBC"/>
    <w:rsid w:val="00121434"/>
    <w:rsid w:val="00127F17"/>
    <w:rsid w:val="00134F7A"/>
    <w:rsid w:val="00156031"/>
    <w:rsid w:val="00162B93"/>
    <w:rsid w:val="0016312B"/>
    <w:rsid w:val="00163D85"/>
    <w:rsid w:val="00175C7D"/>
    <w:rsid w:val="0018754C"/>
    <w:rsid w:val="0019542B"/>
    <w:rsid w:val="001A280C"/>
    <w:rsid w:val="001A344B"/>
    <w:rsid w:val="001B134E"/>
    <w:rsid w:val="001B5529"/>
    <w:rsid w:val="001C500F"/>
    <w:rsid w:val="001C5BC3"/>
    <w:rsid w:val="001E5D85"/>
    <w:rsid w:val="001F4986"/>
    <w:rsid w:val="0021204C"/>
    <w:rsid w:val="002156DB"/>
    <w:rsid w:val="00215B43"/>
    <w:rsid w:val="002276B8"/>
    <w:rsid w:val="00236B42"/>
    <w:rsid w:val="00244C03"/>
    <w:rsid w:val="0025004E"/>
    <w:rsid w:val="00261292"/>
    <w:rsid w:val="0026488D"/>
    <w:rsid w:val="00274E64"/>
    <w:rsid w:val="00284835"/>
    <w:rsid w:val="002C4F6A"/>
    <w:rsid w:val="002D781B"/>
    <w:rsid w:val="002D7BB9"/>
    <w:rsid w:val="00302422"/>
    <w:rsid w:val="003309C3"/>
    <w:rsid w:val="003310A1"/>
    <w:rsid w:val="003501A5"/>
    <w:rsid w:val="0036085B"/>
    <w:rsid w:val="003708A7"/>
    <w:rsid w:val="00384BAD"/>
    <w:rsid w:val="003863BF"/>
    <w:rsid w:val="0039480D"/>
    <w:rsid w:val="003A0088"/>
    <w:rsid w:val="003A116A"/>
    <w:rsid w:val="003B2D64"/>
    <w:rsid w:val="003D2A56"/>
    <w:rsid w:val="003E1DA5"/>
    <w:rsid w:val="003E645F"/>
    <w:rsid w:val="003F709D"/>
    <w:rsid w:val="00412F5D"/>
    <w:rsid w:val="00416550"/>
    <w:rsid w:val="004205D3"/>
    <w:rsid w:val="00421398"/>
    <w:rsid w:val="004219E1"/>
    <w:rsid w:val="0044039F"/>
    <w:rsid w:val="004508FE"/>
    <w:rsid w:val="00455F73"/>
    <w:rsid w:val="004656AD"/>
    <w:rsid w:val="00467A8A"/>
    <w:rsid w:val="00492AD7"/>
    <w:rsid w:val="004A531E"/>
    <w:rsid w:val="004C2A41"/>
    <w:rsid w:val="004D2CC2"/>
    <w:rsid w:val="004E3FFE"/>
    <w:rsid w:val="004F0BF1"/>
    <w:rsid w:val="0050564A"/>
    <w:rsid w:val="00541E03"/>
    <w:rsid w:val="005677AD"/>
    <w:rsid w:val="0059531E"/>
    <w:rsid w:val="005961D1"/>
    <w:rsid w:val="005A198F"/>
    <w:rsid w:val="005A6AB5"/>
    <w:rsid w:val="005B7593"/>
    <w:rsid w:val="005C2C48"/>
    <w:rsid w:val="005C7B97"/>
    <w:rsid w:val="005E4DE5"/>
    <w:rsid w:val="005F6F28"/>
    <w:rsid w:val="006056AD"/>
    <w:rsid w:val="00606A03"/>
    <w:rsid w:val="00615A5D"/>
    <w:rsid w:val="00616982"/>
    <w:rsid w:val="00617B53"/>
    <w:rsid w:val="006271C9"/>
    <w:rsid w:val="006315BC"/>
    <w:rsid w:val="00637CC5"/>
    <w:rsid w:val="006461D6"/>
    <w:rsid w:val="0065261E"/>
    <w:rsid w:val="006606F2"/>
    <w:rsid w:val="006656C5"/>
    <w:rsid w:val="00665757"/>
    <w:rsid w:val="006744B4"/>
    <w:rsid w:val="00687F22"/>
    <w:rsid w:val="00695A2D"/>
    <w:rsid w:val="006B3D80"/>
    <w:rsid w:val="006B50C5"/>
    <w:rsid w:val="006C290D"/>
    <w:rsid w:val="006C32A6"/>
    <w:rsid w:val="006D30D8"/>
    <w:rsid w:val="006F11CE"/>
    <w:rsid w:val="006F4F79"/>
    <w:rsid w:val="006F5811"/>
    <w:rsid w:val="006F726A"/>
    <w:rsid w:val="00714F77"/>
    <w:rsid w:val="00741B91"/>
    <w:rsid w:val="00743D6A"/>
    <w:rsid w:val="0076279C"/>
    <w:rsid w:val="00767635"/>
    <w:rsid w:val="0077561F"/>
    <w:rsid w:val="00790757"/>
    <w:rsid w:val="00793BAF"/>
    <w:rsid w:val="007B2BF0"/>
    <w:rsid w:val="007C7477"/>
    <w:rsid w:val="007D4370"/>
    <w:rsid w:val="007D4736"/>
    <w:rsid w:val="007F0184"/>
    <w:rsid w:val="007F160C"/>
    <w:rsid w:val="008008F7"/>
    <w:rsid w:val="0080598F"/>
    <w:rsid w:val="00810D3D"/>
    <w:rsid w:val="0081583B"/>
    <w:rsid w:val="00820A29"/>
    <w:rsid w:val="008225AD"/>
    <w:rsid w:val="00843471"/>
    <w:rsid w:val="00847DF6"/>
    <w:rsid w:val="00853AAE"/>
    <w:rsid w:val="00860FE6"/>
    <w:rsid w:val="00861D87"/>
    <w:rsid w:val="00877CE2"/>
    <w:rsid w:val="008873E2"/>
    <w:rsid w:val="008A2D66"/>
    <w:rsid w:val="008E11E0"/>
    <w:rsid w:val="008F1F75"/>
    <w:rsid w:val="008F3DF2"/>
    <w:rsid w:val="0090641A"/>
    <w:rsid w:val="009329B7"/>
    <w:rsid w:val="0095675B"/>
    <w:rsid w:val="009600AA"/>
    <w:rsid w:val="00972327"/>
    <w:rsid w:val="0098246C"/>
    <w:rsid w:val="00982589"/>
    <w:rsid w:val="00983B18"/>
    <w:rsid w:val="00997B5F"/>
    <w:rsid w:val="00997C43"/>
    <w:rsid w:val="009A2BE5"/>
    <w:rsid w:val="009B261D"/>
    <w:rsid w:val="009E3325"/>
    <w:rsid w:val="009F014E"/>
    <w:rsid w:val="00A0029D"/>
    <w:rsid w:val="00A117AF"/>
    <w:rsid w:val="00A23DD2"/>
    <w:rsid w:val="00A321ED"/>
    <w:rsid w:val="00A44427"/>
    <w:rsid w:val="00A444E7"/>
    <w:rsid w:val="00A60931"/>
    <w:rsid w:val="00A62DD6"/>
    <w:rsid w:val="00A6461D"/>
    <w:rsid w:val="00A6508A"/>
    <w:rsid w:val="00A73E7C"/>
    <w:rsid w:val="00A94382"/>
    <w:rsid w:val="00A95E41"/>
    <w:rsid w:val="00A9745F"/>
    <w:rsid w:val="00AA1CE6"/>
    <w:rsid w:val="00AA3097"/>
    <w:rsid w:val="00AA700F"/>
    <w:rsid w:val="00AB418E"/>
    <w:rsid w:val="00AB4BF7"/>
    <w:rsid w:val="00AB710D"/>
    <w:rsid w:val="00AC404E"/>
    <w:rsid w:val="00AC5599"/>
    <w:rsid w:val="00AD3D99"/>
    <w:rsid w:val="00AE7904"/>
    <w:rsid w:val="00AF24C4"/>
    <w:rsid w:val="00B02629"/>
    <w:rsid w:val="00B04ACF"/>
    <w:rsid w:val="00B272EE"/>
    <w:rsid w:val="00B31618"/>
    <w:rsid w:val="00B34656"/>
    <w:rsid w:val="00B47675"/>
    <w:rsid w:val="00B505B5"/>
    <w:rsid w:val="00B60310"/>
    <w:rsid w:val="00B66AB3"/>
    <w:rsid w:val="00B67DA7"/>
    <w:rsid w:val="00B7278A"/>
    <w:rsid w:val="00B7341D"/>
    <w:rsid w:val="00B83D5E"/>
    <w:rsid w:val="00B91665"/>
    <w:rsid w:val="00B95A1E"/>
    <w:rsid w:val="00BA09B1"/>
    <w:rsid w:val="00BA5F94"/>
    <w:rsid w:val="00BC4A3E"/>
    <w:rsid w:val="00BC4E0F"/>
    <w:rsid w:val="00BE0792"/>
    <w:rsid w:val="00BE2428"/>
    <w:rsid w:val="00BE46C1"/>
    <w:rsid w:val="00BE5C09"/>
    <w:rsid w:val="00BE7BFC"/>
    <w:rsid w:val="00BF0F4E"/>
    <w:rsid w:val="00BF78E5"/>
    <w:rsid w:val="00C007D6"/>
    <w:rsid w:val="00C11B5A"/>
    <w:rsid w:val="00C1334A"/>
    <w:rsid w:val="00C24226"/>
    <w:rsid w:val="00C34D2F"/>
    <w:rsid w:val="00C41592"/>
    <w:rsid w:val="00C416EC"/>
    <w:rsid w:val="00C527A0"/>
    <w:rsid w:val="00C55F0D"/>
    <w:rsid w:val="00C60E40"/>
    <w:rsid w:val="00C700C4"/>
    <w:rsid w:val="00C73190"/>
    <w:rsid w:val="00C77B62"/>
    <w:rsid w:val="00C862D6"/>
    <w:rsid w:val="00CA6976"/>
    <w:rsid w:val="00CB093F"/>
    <w:rsid w:val="00CC0362"/>
    <w:rsid w:val="00CC45B4"/>
    <w:rsid w:val="00CC48EB"/>
    <w:rsid w:val="00CD213B"/>
    <w:rsid w:val="00CD2FAC"/>
    <w:rsid w:val="00D017BA"/>
    <w:rsid w:val="00D07ECF"/>
    <w:rsid w:val="00D10738"/>
    <w:rsid w:val="00D14122"/>
    <w:rsid w:val="00D2146F"/>
    <w:rsid w:val="00D7115E"/>
    <w:rsid w:val="00D844F5"/>
    <w:rsid w:val="00D84F6B"/>
    <w:rsid w:val="00D8536D"/>
    <w:rsid w:val="00D90C97"/>
    <w:rsid w:val="00D91823"/>
    <w:rsid w:val="00D9187D"/>
    <w:rsid w:val="00DA2956"/>
    <w:rsid w:val="00DA42CD"/>
    <w:rsid w:val="00DB3540"/>
    <w:rsid w:val="00DB4EF1"/>
    <w:rsid w:val="00DC0C19"/>
    <w:rsid w:val="00DC495E"/>
    <w:rsid w:val="00DC648B"/>
    <w:rsid w:val="00DE0794"/>
    <w:rsid w:val="00DE1133"/>
    <w:rsid w:val="00DE2C82"/>
    <w:rsid w:val="00DF734C"/>
    <w:rsid w:val="00E14F90"/>
    <w:rsid w:val="00E22614"/>
    <w:rsid w:val="00E26A4D"/>
    <w:rsid w:val="00E46E72"/>
    <w:rsid w:val="00E77D89"/>
    <w:rsid w:val="00EB6925"/>
    <w:rsid w:val="00EC57CF"/>
    <w:rsid w:val="00EC6298"/>
    <w:rsid w:val="00ED0762"/>
    <w:rsid w:val="00EE132B"/>
    <w:rsid w:val="00EE26F5"/>
    <w:rsid w:val="00EE3AB2"/>
    <w:rsid w:val="00EE6CAB"/>
    <w:rsid w:val="00F228E8"/>
    <w:rsid w:val="00F34165"/>
    <w:rsid w:val="00F37FAF"/>
    <w:rsid w:val="00F474DD"/>
    <w:rsid w:val="00F5458D"/>
    <w:rsid w:val="00F6085C"/>
    <w:rsid w:val="00F624C9"/>
    <w:rsid w:val="00F644BF"/>
    <w:rsid w:val="00F77FC3"/>
    <w:rsid w:val="00F81E0B"/>
    <w:rsid w:val="00FA2E27"/>
    <w:rsid w:val="00FA719E"/>
    <w:rsid w:val="00FB1113"/>
    <w:rsid w:val="00FB2CF9"/>
    <w:rsid w:val="00FE082A"/>
    <w:rsid w:val="00FF031E"/>
    <w:rsid w:val="018721B0"/>
    <w:rsid w:val="06185B7C"/>
    <w:rsid w:val="08454BBB"/>
    <w:rsid w:val="0A196D33"/>
    <w:rsid w:val="0E502FB0"/>
    <w:rsid w:val="0F4D6C84"/>
    <w:rsid w:val="13A07CE8"/>
    <w:rsid w:val="227D5502"/>
    <w:rsid w:val="38C32CD0"/>
    <w:rsid w:val="399C6B71"/>
    <w:rsid w:val="3C902B9B"/>
    <w:rsid w:val="3CAA42C3"/>
    <w:rsid w:val="3F2C5B75"/>
    <w:rsid w:val="41F5282A"/>
    <w:rsid w:val="51117E42"/>
    <w:rsid w:val="53F50FBC"/>
    <w:rsid w:val="5ADF11E4"/>
    <w:rsid w:val="5E07733D"/>
    <w:rsid w:val="5F223463"/>
    <w:rsid w:val="60B73626"/>
    <w:rsid w:val="6B554FC5"/>
    <w:rsid w:val="6C024EB6"/>
    <w:rsid w:val="7D3F245F"/>
    <w:rsid w:val="7EED5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uiPriority w:val="1"/>
  </w:style>
  <w:style w:type="table" w:default="1" w:styleId="5">
    <w:name w:val="Normal Table"/>
    <w:autoRedefine/>
    <w:semiHidden/>
    <w:unhideWhenUsed/>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qFormat/>
    <w:uiPriority w:val="99"/>
    <w:pPr>
      <w:ind w:firstLine="420" w:firstLineChars="200"/>
    </w:pPr>
  </w:style>
  <w:style w:type="character" w:customStyle="1" w:styleId="9">
    <w:name w:val="页眉 字符"/>
    <w:basedOn w:val="7"/>
    <w:link w:val="4"/>
    <w:autoRedefine/>
    <w:qFormat/>
    <w:uiPriority w:val="99"/>
    <w:rPr>
      <w:kern w:val="2"/>
      <w:sz w:val="18"/>
      <w:szCs w:val="18"/>
    </w:rPr>
  </w:style>
  <w:style w:type="character" w:customStyle="1" w:styleId="10">
    <w:name w:val="页脚 字符"/>
    <w:basedOn w:val="7"/>
    <w:link w:val="3"/>
    <w:autoRedefine/>
    <w:qFormat/>
    <w:uiPriority w:val="99"/>
    <w:rPr>
      <w:kern w:val="2"/>
      <w:sz w:val="18"/>
      <w:szCs w:val="18"/>
    </w:rPr>
  </w:style>
  <w:style w:type="character" w:customStyle="1" w:styleId="11">
    <w:name w:val="批注框文本 字符"/>
    <w:basedOn w:val="7"/>
    <w:link w:val="2"/>
    <w:autoRedefine/>
    <w:semiHidden/>
    <w:qFormat/>
    <w:uiPriority w:val="99"/>
    <w:rPr>
      <w:kern w:val="2"/>
      <w:sz w:val="18"/>
      <w:szCs w:val="18"/>
    </w:rPr>
  </w:style>
  <w:style w:type="paragraph" w:customStyle="1" w:styleId="12">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
    <w:name w:val="Revision"/>
    <w:autoRedefine/>
    <w:hidden/>
    <w:semiHidden/>
    <w:qFormat/>
    <w:uiPriority w:val="99"/>
    <w:rPr>
      <w:rFonts w:asciiTheme="minorHAnsi" w:hAnsiTheme="minorHAnsi" w:eastAsiaTheme="minorEastAsia" w:cstheme="minorBidi"/>
      <w:kern w:val="2"/>
      <w:sz w:val="21"/>
      <w:szCs w:val="22"/>
      <w:lang w:val="en-US" w:eastAsia="zh-CN" w:bidi="ar-SA"/>
    </w:rPr>
  </w:style>
  <w:style w:type="table" w:customStyle="1" w:styleId="14">
    <w:name w:val="Table Normal"/>
    <w:basedOn w:val="5"/>
    <w:autoRedefine/>
    <w:qFormat/>
    <w:uiPriority w:val="0"/>
    <w:rPr>
      <w:rFonts w:eastAsia="Times New Roman"/>
    </w:rPr>
    <w:tblPr>
      <w:tblCellMar>
        <w:left w:w="0" w:type="dxa"/>
        <w:right w:w="0" w:type="dxa"/>
      </w:tblCellMar>
    </w:tblPr>
  </w:style>
  <w:style w:type="paragraph" w:customStyle="1" w:styleId="15">
    <w:name w:val="Table Text"/>
    <w:basedOn w:val="1"/>
    <w:autoRedefine/>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11</Pages>
  <Words>1216</Words>
  <Characters>6933</Characters>
  <Lines>57</Lines>
  <Paragraphs>16</Paragraphs>
  <TotalTime>38</TotalTime>
  <ScaleCrop>false</ScaleCrop>
  <LinksUpToDate>false</LinksUpToDate>
  <CharactersWithSpaces>8133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2024-11-04T09:53:00Z</dcterms:created>
  <dc:creator>liufeng217828@163.com</dc:creator>
  <cp:lastModifiedBy>明</cp:lastModifiedBy>
  <cp:lastPrinted>2024-11-11T02:59:00Z</cp:lastPrinted>
  <dcterms:modified xsi:type="dcterms:W3CDTF">2025-09-11T00:48:21Z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C80AAF5072DB49708D9706A034CF1E48_13</vt:lpwstr>
  </property>
</Properties>
</file>