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BE" w:rsidRDefault="00C819F0">
      <w:pPr>
        <w:adjustRightInd w:val="0"/>
        <w:snapToGrid w:val="0"/>
        <w:spacing w:line="560" w:lineRule="exact"/>
        <w:jc w:val="center"/>
        <w:rPr>
          <w:rFonts w:ascii="黑体" w:eastAsia="黑体" w:hAnsi="黑体"/>
          <w:bCs/>
          <w:kern w:val="0"/>
          <w:sz w:val="32"/>
          <w:szCs w:val="32"/>
        </w:rPr>
      </w:pPr>
      <w:r>
        <w:rPr>
          <w:rFonts w:ascii="黑体" w:eastAsia="黑体" w:hAnsi="黑体" w:hint="eastAsia"/>
          <w:bCs/>
          <w:kern w:val="0"/>
          <w:sz w:val="32"/>
          <w:szCs w:val="32"/>
        </w:rPr>
        <w:t>外国语学院研究生综合测评办法</w:t>
      </w:r>
    </w:p>
    <w:p w:rsidR="00D33EBE" w:rsidRDefault="00C819F0" w:rsidP="005D44C8">
      <w:pPr>
        <w:adjustRightInd w:val="0"/>
        <w:snapToGrid w:val="0"/>
        <w:spacing w:beforeLines="100"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研究生综合测评是对研究生德智体美</w:t>
      </w:r>
      <w:r w:rsidR="006C316B">
        <w:rPr>
          <w:rFonts w:ascii="仿宋_GB2312" w:eastAsia="仿宋_GB2312" w:hAnsi="仿宋" w:cs="宋体" w:hint="eastAsia"/>
          <w:color w:val="000000"/>
          <w:kern w:val="0"/>
          <w:sz w:val="32"/>
          <w:szCs w:val="32"/>
        </w:rPr>
        <w:t>劳</w:t>
      </w:r>
      <w:r>
        <w:rPr>
          <w:rFonts w:ascii="仿宋_GB2312" w:eastAsia="仿宋_GB2312" w:hAnsi="仿宋" w:cs="宋体" w:hint="eastAsia"/>
          <w:color w:val="000000"/>
          <w:kern w:val="0"/>
          <w:sz w:val="32"/>
          <w:szCs w:val="32"/>
        </w:rPr>
        <w:t>等各方面素质的综合评价，是评选奖学金、评选优秀研究生和研究生中期考核分流等工作的重要依据。为全面贯彻党和国家教育方针，进一步深化研究生教育综合改革，培养视野宽广的高素质专门人才以及优秀创新人才，根据有关文件精神，结合我院实际，特修订本办法。</w:t>
      </w:r>
    </w:p>
    <w:p w:rsidR="00D33EBE" w:rsidRDefault="00C819F0" w:rsidP="002C3D50">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一、总则</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(一)本综合测评办法适用于我校在读的全日制的博士研究生和硕士研究生。</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(二)原则上研究生按专业年级分类测评。</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(三)担任助管和兼职辅导员的研究生，原则上参加专职工作结束当年入学的同专业年级的综合测评。</w:t>
      </w:r>
    </w:p>
    <w:p w:rsidR="00D33EBE" w:rsidRDefault="00C819F0" w:rsidP="002C3D50">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二、成绩计算</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总成绩</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德育分×</w:t>
      </w:r>
      <w:r>
        <w:rPr>
          <w:rFonts w:ascii="仿宋_GB2312" w:eastAsia="仿宋_GB2312" w:hAnsi="仿宋" w:cs="宋体"/>
          <w:color w:val="000000"/>
          <w:kern w:val="0"/>
          <w:sz w:val="32"/>
          <w:szCs w:val="32"/>
        </w:rPr>
        <w:t>20%+</w:t>
      </w:r>
      <w:r>
        <w:rPr>
          <w:rFonts w:ascii="仿宋_GB2312" w:eastAsia="仿宋_GB2312" w:hAnsi="仿宋" w:cs="宋体" w:hint="eastAsia"/>
          <w:color w:val="000000"/>
          <w:kern w:val="0"/>
          <w:sz w:val="32"/>
          <w:szCs w:val="32"/>
        </w:rPr>
        <w:t>智育分×</w:t>
      </w:r>
      <w:r>
        <w:rPr>
          <w:rFonts w:ascii="仿宋_GB2312" w:eastAsia="仿宋_GB2312" w:hAnsi="仿宋" w:cs="宋体"/>
          <w:color w:val="000000"/>
          <w:kern w:val="0"/>
          <w:sz w:val="32"/>
          <w:szCs w:val="32"/>
        </w:rPr>
        <w:t>70%+</w:t>
      </w:r>
      <w:r>
        <w:rPr>
          <w:rFonts w:ascii="仿宋_GB2312" w:eastAsia="仿宋_GB2312" w:hAnsi="仿宋" w:cs="宋体" w:hint="eastAsia"/>
          <w:color w:val="000000"/>
          <w:kern w:val="0"/>
          <w:sz w:val="32"/>
          <w:szCs w:val="32"/>
        </w:rPr>
        <w:t>文体活动分×</w:t>
      </w:r>
      <w:r>
        <w:rPr>
          <w:rFonts w:ascii="仿宋_GB2312" w:eastAsia="仿宋_GB2312" w:hAnsi="仿宋" w:cs="宋体"/>
          <w:color w:val="000000"/>
          <w:kern w:val="0"/>
          <w:sz w:val="32"/>
          <w:szCs w:val="32"/>
        </w:rPr>
        <w:t>10%</w:t>
      </w:r>
    </w:p>
    <w:p w:rsidR="00D33EBE" w:rsidRDefault="00C819F0" w:rsidP="002C3D50">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三、德育测评</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德育分=100分×个人德育总分/德育基准分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个人德育总分</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基础分</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奖惩分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u w:val="single"/>
        </w:rPr>
      </w:pPr>
      <w:r>
        <w:rPr>
          <w:rFonts w:ascii="仿宋_GB2312" w:eastAsia="仿宋_GB2312" w:hAnsi="仿宋" w:cs="宋体" w:hint="eastAsia"/>
          <w:color w:val="000000"/>
          <w:kern w:val="0"/>
          <w:sz w:val="32"/>
          <w:szCs w:val="32"/>
        </w:rPr>
        <w:t>德育基准分取学生所在集体参评成员的最高个人德育总分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(一)基础分(</w:t>
      </w:r>
      <w:r>
        <w:rPr>
          <w:rFonts w:ascii="仿宋_GB2312" w:eastAsia="仿宋_GB2312" w:hAnsi="仿宋" w:cs="宋体"/>
          <w:color w:val="000000"/>
          <w:kern w:val="0"/>
          <w:sz w:val="32"/>
          <w:szCs w:val="32"/>
        </w:rPr>
        <w:t>100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德育基础分的组成由各学院(研究院)研究生综合测评领导小组结合工作实际情况制定细则并负责解释。</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评分主要参考参评同学以下十个方面的表现进行打分：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lastRenderedPageBreak/>
        <w:t>1</w:t>
      </w:r>
      <w:r>
        <w:rPr>
          <w:rFonts w:ascii="仿宋_GB2312" w:eastAsia="仿宋_GB2312" w:hAnsi="仿宋" w:cs="宋体" w:hint="eastAsia"/>
          <w:color w:val="000000"/>
          <w:kern w:val="0"/>
          <w:sz w:val="32"/>
          <w:szCs w:val="32"/>
        </w:rPr>
        <w:t>.热爱祖国，具有较高的政治觉悟和坚定的政治信念，能够用马克思主义的立场、观点和方法分析问题、解决问题；</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.自觉遵守国家法律法规和社会公德，具有较强的社会责任感和集体荣誉感，正确处理个人、集体和国家利益之间的关系；</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Pr>
          <w:rFonts w:ascii="仿宋_GB2312" w:eastAsia="仿宋_GB2312" w:hAnsi="仿宋" w:cs="宋体" w:hint="eastAsia"/>
          <w:color w:val="000000"/>
          <w:kern w:val="0"/>
          <w:sz w:val="32"/>
          <w:szCs w:val="32"/>
        </w:rPr>
        <w:t>.自觉遵守校纪校规，在公共场所举止文明得体；</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w:t>
      </w:r>
      <w:r>
        <w:rPr>
          <w:rFonts w:ascii="仿宋_GB2312" w:eastAsia="仿宋_GB2312" w:hAnsi="仿宋" w:cs="宋体" w:hint="eastAsia"/>
          <w:color w:val="000000"/>
          <w:kern w:val="0"/>
          <w:sz w:val="32"/>
          <w:szCs w:val="32"/>
        </w:rPr>
        <w:t>.学习目的明确、态度端正，具有良好的生活习惯，宿舍卫生情况良好；</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.积极参加校、院及班级组织的各项活动；</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6.自觉遵守科学道德和学术规范要求；</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7.尊敬实验室教师，团结同学；</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8</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积极并认真完成导师交给的任务；</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9</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学术工作进展良好，积极参与学术活动等。</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(二)奖励分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奖励分由学校、学院(研究院)相关管理部门和学院(研究院)研究生综合测评工作小组共同确定。加分细则如下。</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.社会工作</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在学校或学院(研究院)担任学生干部，工作满一年(含)以上的，在德、勤、能、绩等方面进行总结，由学生干部所在社团、学院(研究院)综合测评领导小组和社团管理部门分别打分，三次打分各占</w:t>
      </w:r>
      <w:r>
        <w:rPr>
          <w:rFonts w:ascii="仿宋_GB2312" w:eastAsia="仿宋_GB2312" w:hAnsi="仿宋" w:cs="宋体"/>
          <w:color w:val="000000"/>
          <w:kern w:val="0"/>
          <w:sz w:val="32"/>
          <w:szCs w:val="32"/>
        </w:rPr>
        <w:t>1/3</w:t>
      </w:r>
      <w:r>
        <w:rPr>
          <w:rFonts w:ascii="仿宋_GB2312" w:eastAsia="仿宋_GB2312" w:hAnsi="仿宋" w:cs="宋体" w:hint="eastAsia"/>
          <w:color w:val="000000"/>
          <w:kern w:val="0"/>
          <w:sz w:val="32"/>
          <w:szCs w:val="32"/>
        </w:rPr>
        <w:t>，确定学生干部的最后得分。在班级工作的学生干部，由辅导员和班级分别打分，各占</w:t>
      </w:r>
      <w:r>
        <w:rPr>
          <w:rFonts w:ascii="仿宋_GB2312" w:eastAsia="仿宋_GB2312" w:hAnsi="仿宋" w:cs="宋体"/>
          <w:color w:val="000000"/>
          <w:kern w:val="0"/>
          <w:sz w:val="32"/>
          <w:szCs w:val="32"/>
        </w:rPr>
        <w:t>1/2</w:t>
      </w:r>
      <w:r>
        <w:rPr>
          <w:rFonts w:ascii="仿宋_GB2312" w:eastAsia="仿宋_GB2312" w:hAnsi="仿宋" w:cs="宋体" w:hint="eastAsia"/>
          <w:color w:val="000000"/>
          <w:kern w:val="0"/>
          <w:sz w:val="32"/>
          <w:szCs w:val="32"/>
        </w:rPr>
        <w:t>。同时承担两项及以上学生工作的，奖励分可以累加，但最多只加两项，取一个最高奖励分后，另一项奖励分乘</w:t>
      </w:r>
      <w:r>
        <w:rPr>
          <w:rFonts w:ascii="仿宋_GB2312" w:eastAsia="仿宋_GB2312" w:hAnsi="仿宋" w:cs="宋体"/>
          <w:color w:val="000000"/>
          <w:kern w:val="0"/>
          <w:sz w:val="32"/>
          <w:szCs w:val="32"/>
        </w:rPr>
        <w:t>0.2</w:t>
      </w:r>
      <w:r>
        <w:rPr>
          <w:rFonts w:ascii="仿宋_GB2312" w:eastAsia="仿宋_GB2312" w:hAnsi="仿宋" w:cs="宋体" w:hint="eastAsia"/>
          <w:color w:val="000000"/>
          <w:kern w:val="0"/>
          <w:sz w:val="32"/>
          <w:szCs w:val="32"/>
        </w:rPr>
        <w:t>系数</w:t>
      </w:r>
      <w:r>
        <w:rPr>
          <w:rFonts w:ascii="仿宋_GB2312" w:eastAsia="仿宋_GB2312" w:hAnsi="仿宋" w:cs="宋体" w:hint="eastAsia"/>
          <w:color w:val="000000"/>
          <w:kern w:val="0"/>
          <w:sz w:val="32"/>
          <w:szCs w:val="32"/>
        </w:rPr>
        <w:lastRenderedPageBreak/>
        <w:t>后累加。</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工作满一年的各级学生干部的打分范围如下(工作不满一年的，折半打分)：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)校团委副书记、团委委员，院团委书记、副书记、团委委员，校研究生会主席、副主席加</w:t>
      </w:r>
      <w:r>
        <w:rPr>
          <w:rFonts w:ascii="仿宋_GB2312" w:eastAsia="仿宋_GB2312" w:hAnsi="仿宋" w:cs="宋体"/>
          <w:color w:val="000000"/>
          <w:kern w:val="0"/>
          <w:sz w:val="32"/>
          <w:szCs w:val="32"/>
        </w:rPr>
        <w:t>0-15</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)校研究生会正副部长、院研究生会正副主席、校级研究生社团正副职加</w:t>
      </w:r>
      <w:r>
        <w:rPr>
          <w:rFonts w:ascii="仿宋_GB2312" w:eastAsia="仿宋_GB2312" w:hAnsi="仿宋" w:cs="宋体"/>
          <w:color w:val="000000"/>
          <w:kern w:val="0"/>
          <w:sz w:val="32"/>
          <w:szCs w:val="32"/>
        </w:rPr>
        <w:t>0-10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3</w:t>
      </w:r>
      <w:r>
        <w:rPr>
          <w:rFonts w:ascii="仿宋_GB2312" w:eastAsia="仿宋_GB2312" w:hAnsi="仿宋" w:cs="宋体" w:hint="eastAsia"/>
          <w:color w:val="000000"/>
          <w:kern w:val="0"/>
          <w:sz w:val="32"/>
          <w:szCs w:val="32"/>
        </w:rPr>
        <w:t>)校研究生会部委、校级研究生社团部委、院研究生会正副部长、班长、党支部书记、团支部书记加</w:t>
      </w:r>
      <w:r>
        <w:rPr>
          <w:rFonts w:ascii="仿宋_GB2312" w:eastAsia="仿宋_GB2312" w:hAnsi="仿宋" w:cs="宋体"/>
          <w:color w:val="000000"/>
          <w:kern w:val="0"/>
          <w:sz w:val="32"/>
          <w:szCs w:val="32"/>
        </w:rPr>
        <w:t>0-6</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4</w:t>
      </w:r>
      <w:r>
        <w:rPr>
          <w:rFonts w:ascii="仿宋_GB2312" w:eastAsia="仿宋_GB2312" w:hAnsi="仿宋" w:cs="宋体" w:hint="eastAsia"/>
          <w:color w:val="000000"/>
          <w:kern w:val="0"/>
          <w:sz w:val="32"/>
          <w:szCs w:val="32"/>
        </w:rPr>
        <w:t>)院研究生会部委、班委、党支部委员、团支部委员加</w:t>
      </w:r>
      <w:r>
        <w:rPr>
          <w:rFonts w:ascii="仿宋_GB2312" w:eastAsia="仿宋_GB2312" w:hAnsi="仿宋" w:cs="宋体"/>
          <w:color w:val="000000"/>
          <w:kern w:val="0"/>
          <w:sz w:val="32"/>
          <w:szCs w:val="32"/>
        </w:rPr>
        <w:t>0-4</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)党支部小组长、团支部小组长、宿舍长、课代表加</w:t>
      </w:r>
      <w:r>
        <w:rPr>
          <w:rFonts w:ascii="仿宋_GB2312" w:eastAsia="仿宋_GB2312" w:hAnsi="仿宋" w:cs="宋体"/>
          <w:color w:val="000000"/>
          <w:kern w:val="0"/>
          <w:sz w:val="32"/>
          <w:szCs w:val="32"/>
        </w:rPr>
        <w:t>0-3</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.校级、市(部)级、国家级先进集体成员每人分别加</w:t>
      </w: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15</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Pr>
          <w:rFonts w:ascii="仿宋_GB2312" w:eastAsia="仿宋_GB2312" w:hAnsi="仿宋" w:cs="宋体" w:hint="eastAsia"/>
          <w:color w:val="000000"/>
          <w:kern w:val="0"/>
          <w:sz w:val="32"/>
          <w:szCs w:val="32"/>
        </w:rPr>
        <w:t>.校级、市(部)级、国家级先进个人分别加</w:t>
      </w: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15</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w:t>
      </w:r>
      <w:r>
        <w:rPr>
          <w:rFonts w:ascii="仿宋_GB2312" w:eastAsia="仿宋_GB2312" w:hAnsi="仿宋" w:cs="宋体" w:hint="eastAsia"/>
          <w:color w:val="000000"/>
          <w:kern w:val="0"/>
          <w:sz w:val="32"/>
          <w:szCs w:val="32"/>
        </w:rPr>
        <w:t>.未担任学生干部或其它职务，但关心他人、积极参加集体活动或向学校及有关部门提出合理化建议者经班级综合测评工作小组评议可加</w:t>
      </w:r>
      <w:r>
        <w:rPr>
          <w:rFonts w:ascii="仿宋_GB2312" w:eastAsia="仿宋_GB2312" w:hAnsi="仿宋" w:cs="宋体"/>
          <w:color w:val="000000"/>
          <w:kern w:val="0"/>
          <w:sz w:val="32"/>
          <w:szCs w:val="32"/>
        </w:rPr>
        <w:t>1-5</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.宿舍管理奖励分，按《中国石油大学</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北京</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研究生公寓宿舍卫生检查细则》执行。</w:t>
      </w:r>
    </w:p>
    <w:p w:rsidR="000D711C" w:rsidRDefault="000D711C" w:rsidP="000D711C">
      <w:pPr>
        <w:adjustRightInd w:val="0"/>
        <w:snapToGrid w:val="0"/>
        <w:spacing w:line="560" w:lineRule="exact"/>
        <w:ind w:firstLineChars="200" w:firstLine="640"/>
        <w:rPr>
          <w:rFonts w:ascii="仿宋_GB2312" w:eastAsia="仿宋_GB2312" w:hAnsi="仿宋" w:cs="宋体"/>
          <w:color w:val="000000"/>
          <w:kern w:val="0"/>
          <w:sz w:val="32"/>
          <w:szCs w:val="32"/>
        </w:rPr>
      </w:pPr>
      <w:r w:rsidRPr="00DF2714">
        <w:rPr>
          <w:rFonts w:ascii="仿宋_GB2312" w:eastAsia="仿宋_GB2312" w:hAnsi="仿宋" w:cs="宋体" w:hint="eastAsia"/>
          <w:color w:val="000000"/>
          <w:kern w:val="0"/>
          <w:sz w:val="32"/>
          <w:szCs w:val="32"/>
        </w:rPr>
        <w:t>6.志愿者活动：</w:t>
      </w:r>
      <w:r w:rsidR="009A22F5">
        <w:rPr>
          <w:rFonts w:ascii="仿宋_GB2312" w:eastAsia="仿宋_GB2312" w:hAnsi="仿宋" w:cs="宋体" w:hint="eastAsia"/>
          <w:color w:val="000000"/>
          <w:kern w:val="0"/>
          <w:sz w:val="32"/>
          <w:szCs w:val="32"/>
        </w:rPr>
        <w:t>以中国石油大学（北京）和外国语学院学院官方组织</w:t>
      </w:r>
      <w:r w:rsidRPr="00DF2714">
        <w:rPr>
          <w:rFonts w:ascii="仿宋_GB2312" w:eastAsia="仿宋_GB2312" w:hAnsi="仿宋" w:cs="宋体" w:hint="eastAsia"/>
          <w:color w:val="000000"/>
          <w:kern w:val="0"/>
          <w:sz w:val="32"/>
          <w:szCs w:val="32"/>
        </w:rPr>
        <w:t>的志愿活动为准</w:t>
      </w:r>
      <w:r w:rsidR="009A22F5">
        <w:rPr>
          <w:rFonts w:ascii="仿宋_GB2312" w:eastAsia="仿宋_GB2312" w:hAnsi="仿宋" w:cs="宋体" w:hint="eastAsia"/>
          <w:color w:val="000000"/>
          <w:kern w:val="0"/>
          <w:sz w:val="32"/>
          <w:szCs w:val="32"/>
        </w:rPr>
        <w:t>，志愿活动时长8小时计1次，</w:t>
      </w:r>
      <w:r w:rsidR="009A22F5">
        <w:rPr>
          <w:rFonts w:ascii="仿宋_GB2312" w:eastAsia="仿宋_GB2312" w:hAnsi="仿宋" w:cs="宋体" w:hint="eastAsia"/>
          <w:color w:val="000000"/>
          <w:kern w:val="0"/>
          <w:sz w:val="32"/>
          <w:szCs w:val="32"/>
        </w:rPr>
        <w:lastRenderedPageBreak/>
        <w:t>1次计1分，</w:t>
      </w:r>
      <w:r w:rsidRPr="00DF2714">
        <w:rPr>
          <w:rFonts w:ascii="仿宋_GB2312" w:eastAsia="仿宋_GB2312" w:hAnsi="仿宋" w:cs="宋体" w:hint="eastAsia"/>
          <w:color w:val="000000"/>
          <w:kern w:val="0"/>
          <w:sz w:val="32"/>
          <w:szCs w:val="32"/>
        </w:rPr>
        <w:t>加分</w:t>
      </w:r>
      <w:r w:rsidR="009A22F5">
        <w:rPr>
          <w:rFonts w:ascii="仿宋_GB2312" w:eastAsia="仿宋_GB2312" w:hAnsi="仿宋" w:cs="宋体" w:hint="eastAsia"/>
          <w:color w:val="000000"/>
          <w:kern w:val="0"/>
          <w:sz w:val="32"/>
          <w:szCs w:val="32"/>
        </w:rPr>
        <w:t>累计</w:t>
      </w:r>
      <w:r w:rsidRPr="00DF2714">
        <w:rPr>
          <w:rFonts w:ascii="仿宋_GB2312" w:eastAsia="仿宋_GB2312" w:hAnsi="仿宋" w:cs="宋体" w:hint="eastAsia"/>
          <w:color w:val="000000"/>
          <w:kern w:val="0"/>
          <w:sz w:val="32"/>
          <w:szCs w:val="32"/>
        </w:rPr>
        <w:t>不超过2分。以</w:t>
      </w:r>
      <w:r w:rsidR="009A22F5">
        <w:rPr>
          <w:rFonts w:ascii="仿宋_GB2312" w:eastAsia="仿宋_GB2312" w:hAnsi="仿宋" w:cs="宋体" w:hint="eastAsia"/>
          <w:color w:val="000000"/>
          <w:kern w:val="0"/>
          <w:sz w:val="32"/>
          <w:szCs w:val="32"/>
        </w:rPr>
        <w:t>志愿者</w:t>
      </w:r>
      <w:r w:rsidRPr="00DF2714">
        <w:rPr>
          <w:rFonts w:ascii="仿宋_GB2312" w:eastAsia="仿宋_GB2312" w:hAnsi="仿宋" w:cs="宋体" w:hint="eastAsia"/>
          <w:color w:val="000000"/>
          <w:kern w:val="0"/>
          <w:sz w:val="32"/>
          <w:szCs w:val="32"/>
        </w:rPr>
        <w:t>证书为准，参考学院证明。</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(三)惩罚分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惩罚分由班级综合测评工作小组核定。扣分细则如下：</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.违反国家法律法规，虽未受到刑事或行政处罚但被处理者，一次扣</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.受到通报批评处理者，或受到学校警告、严重警告、记过、留校察看处分者，分别扣</w:t>
      </w: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15</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30</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50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Pr>
          <w:rFonts w:ascii="仿宋_GB2312" w:eastAsia="仿宋_GB2312" w:hAnsi="仿宋" w:cs="宋体" w:hint="eastAsia"/>
          <w:color w:val="000000"/>
          <w:kern w:val="0"/>
          <w:sz w:val="32"/>
          <w:szCs w:val="32"/>
        </w:rPr>
        <w:t>.违反科学道德和学术规范并造成不良影响者，一次扣</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w:t>
      </w:r>
      <w:r>
        <w:rPr>
          <w:rFonts w:ascii="仿宋_GB2312" w:eastAsia="仿宋_GB2312" w:hAnsi="仿宋" w:cs="宋体" w:hint="eastAsia"/>
          <w:color w:val="000000"/>
          <w:kern w:val="0"/>
          <w:sz w:val="32"/>
          <w:szCs w:val="32"/>
        </w:rPr>
        <w:t>.集体活动缺勤一次扣</w:t>
      </w: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分，不按时注册扣</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.宿舍管理惩罚分，按《中国石油大学</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北京</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研究生公寓宿舍卫生检查细则》执行。</w:t>
      </w:r>
    </w:p>
    <w:p w:rsidR="00D33EBE" w:rsidRDefault="00C819F0" w:rsidP="002C3D50">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四、智育测评</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智育分=100分×个人智育总分/智育基准分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个人智育总分</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学习成绩分</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奖惩分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u w:val="single"/>
        </w:rPr>
      </w:pPr>
      <w:r>
        <w:rPr>
          <w:rFonts w:ascii="仿宋_GB2312" w:eastAsia="仿宋_GB2312" w:hAnsi="仿宋" w:cs="宋体" w:hint="eastAsia"/>
          <w:color w:val="000000"/>
          <w:kern w:val="0"/>
          <w:sz w:val="32"/>
          <w:szCs w:val="32"/>
        </w:rPr>
        <w:t>智育基准分取学生所在集体参评成员的最高个人智育总分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(一)学习成绩分(</w:t>
      </w:r>
      <w:r>
        <w:rPr>
          <w:rFonts w:ascii="仿宋_GB2312" w:eastAsia="仿宋_GB2312" w:hAnsi="仿宋" w:cs="宋体"/>
          <w:color w:val="000000"/>
          <w:kern w:val="0"/>
          <w:sz w:val="32"/>
          <w:szCs w:val="32"/>
        </w:rPr>
        <w:t>100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考核培养计划中必修课和选修课完成情况，按考试成绩和学分数加权计算。</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学习成绩=</w:t>
      </w:r>
      <w:r>
        <w:rPr>
          <w:rFonts w:ascii="仿宋_GB2312" w:eastAsia="仿宋_GB2312" w:hAnsi="仿宋" w:cs="宋体"/>
          <w:color w:val="000000"/>
          <w:kern w:val="0"/>
          <w:sz w:val="32"/>
          <w:szCs w:val="32"/>
        </w:rPr>
        <w:t>0.7</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Ti</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Xi</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Ti+0.3</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Mi</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Yi</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Mi</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其中：</w:t>
      </w:r>
      <w:r>
        <w:rPr>
          <w:rFonts w:ascii="仿宋_GB2312" w:eastAsia="仿宋_GB2312" w:hAnsi="仿宋" w:cs="宋体"/>
          <w:color w:val="000000"/>
          <w:kern w:val="0"/>
          <w:sz w:val="32"/>
          <w:szCs w:val="32"/>
        </w:rPr>
        <w:t>Ti</w:t>
      </w:r>
      <w:r>
        <w:rPr>
          <w:rFonts w:ascii="仿宋_GB2312" w:eastAsia="仿宋_GB2312" w:hAnsi="仿宋" w:cs="宋体" w:hint="eastAsia"/>
          <w:color w:val="000000"/>
          <w:kern w:val="0"/>
          <w:sz w:val="32"/>
          <w:szCs w:val="32"/>
        </w:rPr>
        <w:t>为培养计划中所列的学位课学分数，</w:t>
      </w:r>
      <w:r>
        <w:rPr>
          <w:rFonts w:ascii="仿宋_GB2312" w:eastAsia="仿宋_GB2312" w:hAnsi="仿宋" w:cs="宋体"/>
          <w:color w:val="000000"/>
          <w:kern w:val="0"/>
          <w:sz w:val="32"/>
          <w:szCs w:val="32"/>
        </w:rPr>
        <w:t>Xi</w:t>
      </w:r>
      <w:r>
        <w:rPr>
          <w:rFonts w:ascii="仿宋_GB2312" w:eastAsia="仿宋_GB2312" w:hAnsi="仿宋" w:cs="宋体" w:hint="eastAsia"/>
          <w:color w:val="000000"/>
          <w:kern w:val="0"/>
          <w:sz w:val="32"/>
          <w:szCs w:val="32"/>
        </w:rPr>
        <w:t>为学位课课程成绩，</w:t>
      </w:r>
      <w:r>
        <w:rPr>
          <w:rFonts w:ascii="仿宋_GB2312" w:eastAsia="仿宋_GB2312" w:hAnsi="仿宋" w:cs="宋体"/>
          <w:color w:val="000000"/>
          <w:kern w:val="0"/>
          <w:sz w:val="32"/>
          <w:szCs w:val="32"/>
        </w:rPr>
        <w:t>Mi</w:t>
      </w:r>
      <w:r>
        <w:rPr>
          <w:rFonts w:ascii="仿宋_GB2312" w:eastAsia="仿宋_GB2312" w:hAnsi="仿宋" w:cs="宋体" w:hint="eastAsia"/>
          <w:color w:val="000000"/>
          <w:kern w:val="0"/>
          <w:sz w:val="32"/>
          <w:szCs w:val="32"/>
        </w:rPr>
        <w:t>为选修课学分数，</w:t>
      </w:r>
      <w:r>
        <w:rPr>
          <w:rFonts w:ascii="仿宋_GB2312" w:eastAsia="仿宋_GB2312" w:hAnsi="仿宋" w:cs="宋体"/>
          <w:color w:val="000000"/>
          <w:kern w:val="0"/>
          <w:sz w:val="32"/>
          <w:szCs w:val="32"/>
        </w:rPr>
        <w:t>Yi</w:t>
      </w:r>
      <w:r>
        <w:rPr>
          <w:rFonts w:ascii="仿宋_GB2312" w:eastAsia="仿宋_GB2312" w:hAnsi="仿宋" w:cs="宋体" w:hint="eastAsia"/>
          <w:color w:val="000000"/>
          <w:kern w:val="0"/>
          <w:sz w:val="32"/>
          <w:szCs w:val="32"/>
        </w:rPr>
        <w:t>为选修课成绩，成绩按</w:t>
      </w:r>
      <w:r>
        <w:rPr>
          <w:rFonts w:ascii="仿宋_GB2312" w:eastAsia="仿宋_GB2312" w:hAnsi="仿宋" w:cs="宋体" w:hint="eastAsia"/>
          <w:color w:val="000000"/>
          <w:kern w:val="0"/>
          <w:sz w:val="32"/>
          <w:szCs w:val="32"/>
        </w:rPr>
        <w:lastRenderedPageBreak/>
        <w:t>百分制计算。成绩记载为五级制时，按以下关系换算：优</w:t>
      </w:r>
      <w:r>
        <w:rPr>
          <w:rFonts w:ascii="仿宋_GB2312" w:eastAsia="仿宋_GB2312" w:hAnsi="仿宋" w:cs="宋体"/>
          <w:color w:val="000000"/>
          <w:kern w:val="0"/>
          <w:sz w:val="32"/>
          <w:szCs w:val="32"/>
        </w:rPr>
        <w:t>=90</w:t>
      </w:r>
      <w:r>
        <w:rPr>
          <w:rFonts w:ascii="仿宋_GB2312" w:eastAsia="仿宋_GB2312" w:hAnsi="仿宋" w:cs="宋体" w:hint="eastAsia"/>
          <w:color w:val="000000"/>
          <w:kern w:val="0"/>
          <w:sz w:val="32"/>
          <w:szCs w:val="32"/>
        </w:rPr>
        <w:t>；良</w:t>
      </w:r>
      <w:r>
        <w:rPr>
          <w:rFonts w:ascii="仿宋_GB2312" w:eastAsia="仿宋_GB2312" w:hAnsi="仿宋" w:cs="宋体"/>
          <w:color w:val="000000"/>
          <w:kern w:val="0"/>
          <w:sz w:val="32"/>
          <w:szCs w:val="32"/>
        </w:rPr>
        <w:t>=80</w:t>
      </w:r>
      <w:r>
        <w:rPr>
          <w:rFonts w:ascii="仿宋_GB2312" w:eastAsia="仿宋_GB2312" w:hAnsi="仿宋" w:cs="宋体" w:hint="eastAsia"/>
          <w:color w:val="000000"/>
          <w:kern w:val="0"/>
          <w:sz w:val="32"/>
          <w:szCs w:val="32"/>
        </w:rPr>
        <w:t>；中</w:t>
      </w:r>
      <w:r>
        <w:rPr>
          <w:rFonts w:ascii="仿宋_GB2312" w:eastAsia="仿宋_GB2312" w:hAnsi="仿宋" w:cs="宋体"/>
          <w:color w:val="000000"/>
          <w:kern w:val="0"/>
          <w:sz w:val="32"/>
          <w:szCs w:val="32"/>
        </w:rPr>
        <w:t>=70</w:t>
      </w:r>
      <w:r>
        <w:rPr>
          <w:rFonts w:ascii="仿宋_GB2312" w:eastAsia="仿宋_GB2312" w:hAnsi="仿宋" w:cs="宋体" w:hint="eastAsia"/>
          <w:color w:val="000000"/>
          <w:kern w:val="0"/>
          <w:sz w:val="32"/>
          <w:szCs w:val="32"/>
        </w:rPr>
        <w:t>；及格</w:t>
      </w:r>
      <w:r>
        <w:rPr>
          <w:rFonts w:ascii="仿宋_GB2312" w:eastAsia="仿宋_GB2312" w:hAnsi="仿宋" w:cs="宋体"/>
          <w:color w:val="000000"/>
          <w:kern w:val="0"/>
          <w:sz w:val="32"/>
          <w:szCs w:val="32"/>
        </w:rPr>
        <w:t>=60</w:t>
      </w:r>
      <w:r>
        <w:rPr>
          <w:rFonts w:ascii="仿宋_GB2312" w:eastAsia="仿宋_GB2312" w:hAnsi="仿宋" w:cs="宋体" w:hint="eastAsia"/>
          <w:color w:val="000000"/>
          <w:kern w:val="0"/>
          <w:sz w:val="32"/>
          <w:szCs w:val="32"/>
        </w:rPr>
        <w:t>；不及格</w:t>
      </w:r>
      <w:r>
        <w:rPr>
          <w:rFonts w:ascii="仿宋_GB2312" w:eastAsia="仿宋_GB2312" w:hAnsi="仿宋" w:cs="宋体"/>
          <w:color w:val="000000"/>
          <w:kern w:val="0"/>
          <w:sz w:val="32"/>
          <w:szCs w:val="32"/>
        </w:rPr>
        <w:t>=50</w:t>
      </w:r>
      <w:r>
        <w:rPr>
          <w:rFonts w:ascii="仿宋_GB2312" w:eastAsia="仿宋_GB2312" w:hAnsi="仿宋" w:cs="宋体" w:hint="eastAsia"/>
          <w:color w:val="000000"/>
          <w:kern w:val="0"/>
          <w:sz w:val="32"/>
          <w:szCs w:val="32"/>
        </w:rPr>
        <w:t>。</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(二)奖励分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奖励分由班级综合测评工作小组核定。加分细则如下。</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所有奖励分加分项目必须是以中国石油大学(北京)或企业导师所在单位为第一单位。同一内容的论文或科研成果取单项最高分，不累加。所有发表的论文或科研成果均需附有原件及复印件，班级综合测评工作小组审核合格后方有效。</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2.智育奖励分涉及多人排名的加分情况，个人得分计算方法：</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排名第一者(队长)得分为1/2×所获奖项的加分，其他人员分享剩余的1/2×所获奖项的加分；校内导师(企业导师)为第一作者、学生为第二作者的，第二作者得分为2/5×所获奖项的加分，其他人员分享1/10×所获奖项的加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3.取得下列成绩，按如下规定分别加分。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r>
        <w:rPr>
          <w:rFonts w:ascii="仿宋_GB2312" w:eastAsia="仿宋_GB2312" w:hAnsi="仿宋" w:cs="宋体"/>
          <w:color w:val="000000"/>
          <w:kern w:val="0"/>
          <w:sz w:val="32"/>
          <w:szCs w:val="32"/>
        </w:rPr>
        <w:t>发表与本人所学专业有关的学术论文</w:t>
      </w:r>
      <w:r>
        <w:rPr>
          <w:rFonts w:ascii="仿宋_GB2312" w:eastAsia="仿宋_GB2312" w:hAnsi="仿宋" w:cs="宋体" w:hint="eastAsia"/>
          <w:color w:val="000000"/>
          <w:kern w:val="0"/>
          <w:sz w:val="32"/>
          <w:szCs w:val="32"/>
        </w:rPr>
        <w:t>、获得专利授权、获得软件著作权</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分成八档加分，分别为</w:t>
      </w:r>
      <w:r>
        <w:rPr>
          <w:rFonts w:ascii="仿宋_GB2312" w:eastAsia="仿宋_GB2312" w:hAnsi="仿宋" w:cs="宋体"/>
          <w:color w:val="000000"/>
          <w:kern w:val="0"/>
          <w:sz w:val="32"/>
          <w:szCs w:val="32"/>
        </w:rPr>
        <w:t>50分、30分、15分、10分、5分、3分、1分、0.1分</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在学术会议上宣读并发表与本人所学专业有关的学术论文，</w:t>
      </w:r>
      <w:r>
        <w:rPr>
          <w:rFonts w:ascii="仿宋_GB2312" w:eastAsia="仿宋_GB2312" w:hAnsi="仿宋" w:cs="宋体" w:hint="eastAsia"/>
          <w:color w:val="000000"/>
          <w:kern w:val="0"/>
          <w:sz w:val="32"/>
          <w:szCs w:val="32"/>
        </w:rPr>
        <w:t>根据学术会议级别，分成三档加分，分别为</w:t>
      </w:r>
      <w:r>
        <w:rPr>
          <w:rFonts w:ascii="仿宋_GB2312" w:eastAsia="仿宋_GB2312" w:hAnsi="仿宋" w:cs="宋体"/>
          <w:color w:val="000000"/>
          <w:kern w:val="0"/>
          <w:sz w:val="32"/>
          <w:szCs w:val="32"/>
        </w:rPr>
        <w:t>5分、3分、1分</w:t>
      </w:r>
      <w:r>
        <w:rPr>
          <w:rFonts w:ascii="仿宋_GB2312" w:eastAsia="仿宋_GB2312" w:hAnsi="仿宋" w:cs="宋体" w:hint="eastAsia"/>
          <w:color w:val="000000"/>
          <w:kern w:val="0"/>
          <w:sz w:val="32"/>
          <w:szCs w:val="32"/>
        </w:rPr>
        <w:t>，发表论文摘要，按本规定的</w:t>
      </w:r>
      <w:r>
        <w:rPr>
          <w:rFonts w:ascii="仿宋_GB2312" w:eastAsia="仿宋_GB2312" w:hAnsi="仿宋" w:cs="宋体"/>
          <w:color w:val="000000"/>
          <w:kern w:val="0"/>
          <w:sz w:val="32"/>
          <w:szCs w:val="32"/>
        </w:rPr>
        <w:t>1/4</w:t>
      </w:r>
      <w:r>
        <w:rPr>
          <w:rFonts w:ascii="仿宋_GB2312" w:eastAsia="仿宋_GB2312" w:hAnsi="仿宋" w:cs="宋体" w:hint="eastAsia"/>
          <w:color w:val="000000"/>
          <w:kern w:val="0"/>
          <w:sz w:val="32"/>
          <w:szCs w:val="32"/>
        </w:rPr>
        <w:t>加分。学生学术成果和</w:t>
      </w:r>
      <w:r>
        <w:rPr>
          <w:rFonts w:ascii="仿宋_GB2312" w:eastAsia="仿宋_GB2312" w:hAnsi="仿宋" w:cs="宋体"/>
          <w:color w:val="000000"/>
          <w:kern w:val="0"/>
          <w:sz w:val="32"/>
          <w:szCs w:val="32"/>
        </w:rPr>
        <w:t>参加</w:t>
      </w:r>
      <w:r>
        <w:rPr>
          <w:rFonts w:ascii="仿宋_GB2312" w:eastAsia="仿宋_GB2312" w:hAnsi="仿宋" w:cs="宋体" w:hint="eastAsia"/>
          <w:color w:val="000000"/>
          <w:kern w:val="0"/>
          <w:sz w:val="32"/>
          <w:szCs w:val="32"/>
        </w:rPr>
        <w:t>的会议级别由</w:t>
      </w:r>
      <w:r w:rsidR="00ED7A2B">
        <w:rPr>
          <w:rFonts w:ascii="仿宋_GB2312" w:eastAsia="仿宋_GB2312" w:hAnsi="仿宋" w:cs="宋体" w:hint="eastAsia"/>
          <w:color w:val="000000"/>
          <w:kern w:val="0"/>
          <w:sz w:val="32"/>
          <w:szCs w:val="32"/>
        </w:rPr>
        <w:t>学院</w:t>
      </w:r>
      <w:r w:rsidR="009A22F5">
        <w:rPr>
          <w:rFonts w:ascii="仿宋_GB2312" w:eastAsia="仿宋_GB2312" w:hAnsi="仿宋" w:cs="宋体" w:hint="eastAsia"/>
          <w:color w:val="000000"/>
          <w:kern w:val="0"/>
          <w:sz w:val="32"/>
          <w:szCs w:val="32"/>
        </w:rPr>
        <w:t>学术委员会审定</w:t>
      </w:r>
      <w:r>
        <w:rPr>
          <w:rFonts w:ascii="仿宋_GB2312" w:eastAsia="仿宋_GB2312" w:hAnsi="仿宋" w:cs="宋体" w:hint="eastAsia"/>
          <w:color w:val="000000"/>
          <w:kern w:val="0"/>
          <w:sz w:val="32"/>
          <w:szCs w:val="32"/>
        </w:rPr>
        <w:t>。</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(2)参加科技创新、学科竞赛活动取得各级奖励者，最高</w:t>
      </w:r>
      <w:r>
        <w:rPr>
          <w:rFonts w:ascii="仿宋_GB2312" w:eastAsia="仿宋_GB2312" w:hAnsi="仿宋" w:cs="宋体" w:hint="eastAsia"/>
          <w:color w:val="000000"/>
          <w:kern w:val="0"/>
          <w:sz w:val="32"/>
          <w:szCs w:val="32"/>
        </w:rPr>
        <w:lastRenderedPageBreak/>
        <w:t>按下表加分：</w:t>
      </w:r>
    </w:p>
    <w:tbl>
      <w:tblPr>
        <w:tblW w:w="732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831"/>
        <w:gridCol w:w="1831"/>
        <w:gridCol w:w="1831"/>
        <w:gridCol w:w="1832"/>
      </w:tblGrid>
      <w:tr w:rsidR="00D33EBE">
        <w:trPr>
          <w:trHeight w:val="451"/>
          <w:jc w:val="center"/>
        </w:trPr>
        <w:tc>
          <w:tcPr>
            <w:tcW w:w="1831" w:type="dxa"/>
            <w:tcBorders>
              <w:top w:val="single" w:sz="4" w:space="0" w:color="auto"/>
              <w:left w:val="single" w:sz="4" w:space="0" w:color="auto"/>
              <w:bottom w:val="single" w:sz="4" w:space="0" w:color="auto"/>
              <w:right w:val="single" w:sz="4" w:space="0" w:color="auto"/>
              <w:tl2br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等级</w:t>
            </w:r>
          </w:p>
          <w:p w:rsidR="00D33EBE" w:rsidRDefault="00C819F0">
            <w:pPr>
              <w:spacing w:line="295" w:lineRule="auto"/>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级别</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一等奖</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二等奖</w:t>
            </w:r>
          </w:p>
        </w:tc>
        <w:tc>
          <w:tcPr>
            <w:tcW w:w="1832"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三等奖</w:t>
            </w:r>
          </w:p>
        </w:tc>
      </w:tr>
      <w:tr w:rsidR="00D33EBE">
        <w:trPr>
          <w:trHeight w:val="451"/>
          <w:jc w:val="center"/>
        </w:trPr>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国家级</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12</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w:t>
            </w:r>
          </w:p>
        </w:tc>
        <w:tc>
          <w:tcPr>
            <w:tcW w:w="1832"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w:t>
            </w:r>
          </w:p>
        </w:tc>
      </w:tr>
      <w:tr w:rsidR="00D33EBE">
        <w:trPr>
          <w:trHeight w:val="451"/>
          <w:jc w:val="center"/>
        </w:trPr>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省部级</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w:t>
            </w:r>
          </w:p>
        </w:tc>
        <w:tc>
          <w:tcPr>
            <w:tcW w:w="1832"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w:t>
            </w:r>
          </w:p>
        </w:tc>
      </w:tr>
      <w:tr w:rsidR="00D33EBE">
        <w:trPr>
          <w:trHeight w:val="451"/>
          <w:jc w:val="center"/>
        </w:trPr>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校级</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w:t>
            </w:r>
          </w:p>
        </w:tc>
        <w:tc>
          <w:tcPr>
            <w:tcW w:w="18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w:t>
            </w:r>
          </w:p>
        </w:tc>
        <w:tc>
          <w:tcPr>
            <w:tcW w:w="1832"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w:t>
            </w:r>
          </w:p>
        </w:tc>
      </w:tr>
    </w:tbl>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(3)获得科技成果奖者，最高按照下表加分：</w:t>
      </w:r>
    </w:p>
    <w:tbl>
      <w:tblPr>
        <w:tblW w:w="7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8"/>
        <w:gridCol w:w="2517"/>
        <w:gridCol w:w="2515"/>
      </w:tblGrid>
      <w:tr w:rsidR="00D33EBE">
        <w:trPr>
          <w:trHeight w:val="388"/>
          <w:jc w:val="center"/>
        </w:trPr>
        <w:tc>
          <w:tcPr>
            <w:tcW w:w="4615" w:type="dxa"/>
            <w:gridSpan w:val="2"/>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级别</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加分</w:t>
            </w:r>
          </w:p>
        </w:tc>
      </w:tr>
      <w:tr w:rsidR="00D33EBE">
        <w:trPr>
          <w:trHeight w:val="388"/>
          <w:jc w:val="center"/>
        </w:trPr>
        <w:tc>
          <w:tcPr>
            <w:tcW w:w="2098" w:type="dxa"/>
            <w:vMerge w:val="restart"/>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国家级</w:t>
            </w: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特等奖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50</w:t>
            </w:r>
          </w:p>
        </w:tc>
      </w:tr>
      <w:tr w:rsidR="00D33EBE">
        <w:trPr>
          <w:trHeight w:val="388"/>
          <w:jc w:val="center"/>
        </w:trPr>
        <w:tc>
          <w:tcPr>
            <w:tcW w:w="2098" w:type="dxa"/>
            <w:vMerge/>
            <w:vAlign w:val="center"/>
          </w:tcPr>
          <w:p w:rsidR="00D33EBE" w:rsidRDefault="00D33EBE">
            <w:pPr>
              <w:adjustRightInd w:val="0"/>
              <w:snapToGrid w:val="0"/>
              <w:spacing w:line="560" w:lineRule="exact"/>
              <w:ind w:firstLineChars="200" w:firstLine="560"/>
              <w:jc w:val="center"/>
              <w:rPr>
                <w:rFonts w:ascii="仿宋_GB2312" w:eastAsia="仿宋_GB2312" w:hAnsi="仿宋" w:cs="宋体"/>
                <w:color w:val="000000"/>
                <w:kern w:val="0"/>
                <w:sz w:val="28"/>
                <w:szCs w:val="28"/>
              </w:rPr>
            </w:pP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一等奖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45</w:t>
            </w:r>
          </w:p>
        </w:tc>
      </w:tr>
      <w:tr w:rsidR="00D33EBE">
        <w:trPr>
          <w:trHeight w:val="388"/>
          <w:jc w:val="center"/>
        </w:trPr>
        <w:tc>
          <w:tcPr>
            <w:tcW w:w="2098" w:type="dxa"/>
            <w:vMerge/>
            <w:vAlign w:val="center"/>
          </w:tcPr>
          <w:p w:rsidR="00D33EBE" w:rsidRDefault="00D33EBE">
            <w:pPr>
              <w:adjustRightInd w:val="0"/>
              <w:snapToGrid w:val="0"/>
              <w:spacing w:line="560" w:lineRule="exact"/>
              <w:ind w:firstLineChars="200" w:firstLine="560"/>
              <w:jc w:val="center"/>
              <w:rPr>
                <w:rFonts w:ascii="仿宋_GB2312" w:eastAsia="仿宋_GB2312" w:hAnsi="仿宋" w:cs="宋体"/>
                <w:color w:val="000000"/>
                <w:kern w:val="0"/>
                <w:sz w:val="28"/>
                <w:szCs w:val="28"/>
              </w:rPr>
            </w:pP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二等奖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40</w:t>
            </w:r>
          </w:p>
        </w:tc>
      </w:tr>
      <w:tr w:rsidR="00D33EBE">
        <w:trPr>
          <w:trHeight w:val="388"/>
          <w:jc w:val="center"/>
        </w:trPr>
        <w:tc>
          <w:tcPr>
            <w:tcW w:w="2098" w:type="dxa"/>
            <w:vMerge/>
            <w:vAlign w:val="center"/>
          </w:tcPr>
          <w:p w:rsidR="00D33EBE" w:rsidRDefault="00D33EBE">
            <w:pPr>
              <w:adjustRightInd w:val="0"/>
              <w:snapToGrid w:val="0"/>
              <w:spacing w:line="560" w:lineRule="exact"/>
              <w:ind w:firstLineChars="200" w:firstLine="560"/>
              <w:jc w:val="center"/>
              <w:rPr>
                <w:rFonts w:ascii="仿宋_GB2312" w:eastAsia="仿宋_GB2312" w:hAnsi="仿宋" w:cs="宋体"/>
                <w:color w:val="000000"/>
                <w:kern w:val="0"/>
                <w:sz w:val="28"/>
                <w:szCs w:val="28"/>
              </w:rPr>
            </w:pP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三等奖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30</w:t>
            </w:r>
          </w:p>
        </w:tc>
      </w:tr>
      <w:tr w:rsidR="00D33EBE">
        <w:trPr>
          <w:trHeight w:val="388"/>
          <w:jc w:val="center"/>
        </w:trPr>
        <w:tc>
          <w:tcPr>
            <w:tcW w:w="2098" w:type="dxa"/>
            <w:vMerge w:val="restart"/>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省部级</w:t>
            </w: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特等奖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30</w:t>
            </w:r>
          </w:p>
        </w:tc>
      </w:tr>
      <w:tr w:rsidR="00D33EBE">
        <w:trPr>
          <w:trHeight w:val="388"/>
          <w:jc w:val="center"/>
        </w:trPr>
        <w:tc>
          <w:tcPr>
            <w:tcW w:w="2098" w:type="dxa"/>
            <w:vMerge/>
            <w:vAlign w:val="center"/>
          </w:tcPr>
          <w:p w:rsidR="00D33EBE" w:rsidRDefault="00D33EBE">
            <w:pPr>
              <w:adjustRightInd w:val="0"/>
              <w:snapToGrid w:val="0"/>
              <w:spacing w:line="560" w:lineRule="exact"/>
              <w:ind w:firstLineChars="200" w:firstLine="560"/>
              <w:jc w:val="center"/>
              <w:rPr>
                <w:rFonts w:ascii="仿宋_GB2312" w:eastAsia="仿宋_GB2312" w:hAnsi="仿宋" w:cs="宋体"/>
                <w:color w:val="000000"/>
                <w:kern w:val="0"/>
                <w:sz w:val="28"/>
                <w:szCs w:val="28"/>
              </w:rPr>
            </w:pP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一等奖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20</w:t>
            </w:r>
          </w:p>
        </w:tc>
      </w:tr>
      <w:tr w:rsidR="00D33EBE">
        <w:trPr>
          <w:trHeight w:val="388"/>
          <w:jc w:val="center"/>
        </w:trPr>
        <w:tc>
          <w:tcPr>
            <w:tcW w:w="2098" w:type="dxa"/>
            <w:vMerge/>
            <w:vAlign w:val="center"/>
          </w:tcPr>
          <w:p w:rsidR="00D33EBE" w:rsidRDefault="00D33EBE">
            <w:pPr>
              <w:adjustRightInd w:val="0"/>
              <w:snapToGrid w:val="0"/>
              <w:spacing w:line="560" w:lineRule="exact"/>
              <w:ind w:firstLineChars="200" w:firstLine="560"/>
              <w:jc w:val="center"/>
              <w:rPr>
                <w:rFonts w:ascii="仿宋_GB2312" w:eastAsia="仿宋_GB2312" w:hAnsi="仿宋" w:cs="宋体"/>
                <w:color w:val="000000"/>
                <w:kern w:val="0"/>
                <w:sz w:val="28"/>
                <w:szCs w:val="28"/>
              </w:rPr>
            </w:pP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二等奖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10</w:t>
            </w:r>
          </w:p>
        </w:tc>
      </w:tr>
      <w:tr w:rsidR="00D33EBE">
        <w:trPr>
          <w:trHeight w:val="388"/>
          <w:jc w:val="center"/>
        </w:trPr>
        <w:tc>
          <w:tcPr>
            <w:tcW w:w="2098" w:type="dxa"/>
            <w:vMerge/>
            <w:vAlign w:val="center"/>
          </w:tcPr>
          <w:p w:rsidR="00D33EBE" w:rsidRDefault="00D33EBE">
            <w:pPr>
              <w:adjustRightInd w:val="0"/>
              <w:snapToGrid w:val="0"/>
              <w:spacing w:line="560" w:lineRule="exact"/>
              <w:ind w:firstLineChars="200" w:firstLine="560"/>
              <w:jc w:val="center"/>
              <w:rPr>
                <w:rFonts w:ascii="仿宋_GB2312" w:eastAsia="仿宋_GB2312" w:hAnsi="仿宋" w:cs="宋体"/>
                <w:color w:val="000000"/>
                <w:kern w:val="0"/>
                <w:sz w:val="28"/>
                <w:szCs w:val="28"/>
              </w:rPr>
            </w:pPr>
          </w:p>
        </w:tc>
        <w:tc>
          <w:tcPr>
            <w:tcW w:w="2517"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三等奖</w:t>
            </w:r>
          </w:p>
        </w:tc>
        <w:tc>
          <w:tcPr>
            <w:tcW w:w="2515" w:type="dxa"/>
            <w:vAlign w:val="center"/>
          </w:tcPr>
          <w:p w:rsidR="00D33EBE" w:rsidRDefault="00C819F0">
            <w:pPr>
              <w:adjustRightInd w:val="0"/>
              <w:snapToGrid w:val="0"/>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5</w:t>
            </w:r>
          </w:p>
        </w:tc>
      </w:tr>
    </w:tbl>
    <w:p w:rsidR="000D711C" w:rsidRPr="000D711C" w:rsidRDefault="00DF2714" w:rsidP="000D711C">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sidR="000D711C" w:rsidRPr="000D711C">
        <w:rPr>
          <w:rFonts w:ascii="仿宋_GB2312" w:eastAsia="仿宋_GB2312" w:hAnsi="仿宋" w:cs="宋体" w:hint="eastAsia"/>
          <w:color w:val="000000"/>
          <w:kern w:val="0"/>
          <w:sz w:val="32"/>
          <w:szCs w:val="32"/>
        </w:rPr>
        <w:t>.研究生学习期间获得CATTI三级口/笔译证书，加2分；获得CATTI二级口/笔译证书，加4分。口笔译证书</w:t>
      </w:r>
      <w:r w:rsidR="001C0131">
        <w:rPr>
          <w:rFonts w:ascii="仿宋_GB2312" w:eastAsia="仿宋_GB2312" w:hAnsi="仿宋" w:cs="宋体" w:hint="eastAsia"/>
          <w:color w:val="000000"/>
          <w:kern w:val="0"/>
          <w:sz w:val="32"/>
          <w:szCs w:val="32"/>
        </w:rPr>
        <w:t>只</w:t>
      </w:r>
      <w:r w:rsidR="000D711C" w:rsidRPr="000D711C">
        <w:rPr>
          <w:rFonts w:ascii="仿宋_GB2312" w:eastAsia="仿宋_GB2312" w:hAnsi="仿宋" w:cs="宋体" w:hint="eastAsia"/>
          <w:color w:val="000000"/>
          <w:kern w:val="0"/>
          <w:sz w:val="32"/>
          <w:szCs w:val="32"/>
        </w:rPr>
        <w:t>取最高等级。</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(三)惩罚分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惩罚分由班级综合测评工作小组核定。扣分细则如下：</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1.文献综述</w:t>
      </w:r>
      <w:r>
        <w:rPr>
          <w:rFonts w:ascii="仿宋_GB2312" w:eastAsia="仿宋_GB2312" w:hAnsi="仿宋" w:cs="宋体" w:hint="eastAsia"/>
          <w:color w:val="000000"/>
          <w:kern w:val="0"/>
          <w:sz w:val="32"/>
          <w:szCs w:val="32"/>
        </w:rPr>
        <w:t>、开题报告没有按时完成者</w:t>
      </w:r>
      <w:r>
        <w:rPr>
          <w:rFonts w:ascii="仿宋_GB2312" w:eastAsia="仿宋_GB2312" w:hAnsi="仿宋" w:cs="宋体"/>
          <w:color w:val="000000"/>
          <w:kern w:val="0"/>
          <w:sz w:val="32"/>
          <w:szCs w:val="32"/>
        </w:rPr>
        <w:t>(以学位办公室等职能部门规定的时间为准)，扣10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2.经鉴定确认剽窃他人学术成果者或非法转让技术成果</w:t>
      </w:r>
      <w:r>
        <w:rPr>
          <w:rFonts w:ascii="仿宋_GB2312" w:eastAsia="仿宋_GB2312" w:hAnsi="仿宋" w:cs="宋体"/>
          <w:color w:val="000000"/>
          <w:kern w:val="0"/>
          <w:sz w:val="32"/>
          <w:szCs w:val="32"/>
        </w:rPr>
        <w:lastRenderedPageBreak/>
        <w:t>者，扣30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3.经鉴定确认个人考试成绩造假者，扣30分。</w:t>
      </w:r>
    </w:p>
    <w:p w:rsidR="00D33EBE" w:rsidRDefault="00C819F0" w:rsidP="002C3D50">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五、文体活动测评</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文体活动分=100分×个人文体活动总分/文体活动基准分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个人文体活动总分</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基础分</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奖惩分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u w:val="single"/>
        </w:rPr>
      </w:pPr>
      <w:r>
        <w:rPr>
          <w:rFonts w:ascii="仿宋_GB2312" w:eastAsia="仿宋_GB2312" w:hAnsi="仿宋" w:cs="宋体" w:hint="eastAsia"/>
          <w:color w:val="000000"/>
          <w:kern w:val="0"/>
          <w:sz w:val="32"/>
          <w:szCs w:val="32"/>
        </w:rPr>
        <w:t>文体活动基准分取学生所在集体参评成员的最高个人文体活动总分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(一)基础分(</w:t>
      </w:r>
      <w:r>
        <w:rPr>
          <w:rFonts w:ascii="仿宋_GB2312" w:eastAsia="仿宋_GB2312" w:hAnsi="仿宋" w:cs="宋体"/>
          <w:color w:val="000000"/>
          <w:kern w:val="0"/>
          <w:sz w:val="32"/>
          <w:szCs w:val="32"/>
        </w:rPr>
        <w:t>100</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(二)奖励分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奖励分由班级综合测评工作小组核定。加分细则如下。</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.文体活动加分项主要依据校机关和体育教学部组织的校级及以上活动加分，各类兴趣类社团活动不加分。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加分项目分成文艺、体育两类，其中文艺包括所有歌舞、演讲辩论、书法绘画、摄影、视频制作等文化艺术相关的比赛，体育包括所有球类、体操、田径等相关的体育活动类比赛。每类最多加两项，每类取一个最高奖励分后，另一项奖励分乘</w:t>
      </w:r>
      <w:r>
        <w:rPr>
          <w:rFonts w:ascii="仿宋_GB2312" w:eastAsia="仿宋_GB2312" w:hAnsi="仿宋" w:cs="宋体"/>
          <w:color w:val="000000"/>
          <w:kern w:val="0"/>
          <w:sz w:val="32"/>
          <w:szCs w:val="32"/>
        </w:rPr>
        <w:t>0.2</w:t>
      </w:r>
      <w:r>
        <w:rPr>
          <w:rFonts w:ascii="仿宋_GB2312" w:eastAsia="仿宋_GB2312" w:hAnsi="仿宋" w:cs="宋体" w:hint="eastAsia"/>
          <w:color w:val="000000"/>
          <w:kern w:val="0"/>
          <w:sz w:val="32"/>
          <w:szCs w:val="32"/>
        </w:rPr>
        <w:t>系数后累加。</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Pr>
          <w:rFonts w:ascii="仿宋_GB2312" w:eastAsia="仿宋_GB2312" w:hAnsi="仿宋" w:cs="宋体" w:hint="eastAsia"/>
          <w:color w:val="000000"/>
          <w:kern w:val="0"/>
          <w:sz w:val="32"/>
          <w:szCs w:val="32"/>
        </w:rPr>
        <w:t>虽未获名次但积极参加学校、学院(研究院)组织的活动者加</w:t>
      </w: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4.虽未获名次但代表学校参加省部级各种文艺、体育比赛者加4</w:t>
      </w:r>
      <w:r>
        <w:rPr>
          <w:rFonts w:ascii="仿宋_GB2312" w:eastAsia="仿宋_GB2312" w:hAnsi="仿宋" w:cs="宋体" w:hint="eastAsia"/>
          <w:color w:val="000000"/>
          <w:kern w:val="0"/>
          <w:sz w:val="32"/>
          <w:szCs w:val="32"/>
        </w:rPr>
        <w:t>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Pr>
          <w:rFonts w:ascii="仿宋_GB2312" w:eastAsia="仿宋_GB2312" w:hAnsi="仿宋" w:cs="宋体" w:hint="eastAsia"/>
          <w:color w:val="000000"/>
          <w:kern w:val="0"/>
          <w:sz w:val="32"/>
          <w:szCs w:val="32"/>
        </w:rPr>
        <w:t>.代表学校参加文艺活动及体育比赛获得名次者，最高按照下表加分：</w:t>
      </w:r>
    </w:p>
    <w:tbl>
      <w:tblPr>
        <w:tblW w:w="788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631"/>
        <w:gridCol w:w="1701"/>
        <w:gridCol w:w="1418"/>
        <w:gridCol w:w="1417"/>
        <w:gridCol w:w="1714"/>
      </w:tblGrid>
      <w:tr w:rsidR="00D33EBE">
        <w:trPr>
          <w:trHeight w:val="828"/>
          <w:jc w:val="center"/>
        </w:trPr>
        <w:tc>
          <w:tcPr>
            <w:tcW w:w="1631" w:type="dxa"/>
            <w:tcBorders>
              <w:top w:val="single" w:sz="4" w:space="0" w:color="auto"/>
              <w:left w:val="single" w:sz="4" w:space="0" w:color="auto"/>
              <w:bottom w:val="single" w:sz="4" w:space="0" w:color="auto"/>
              <w:right w:val="single" w:sz="4" w:space="0" w:color="auto"/>
              <w:tl2br w:val="single" w:sz="4" w:space="0" w:color="auto"/>
            </w:tcBorders>
            <w:vAlign w:val="center"/>
          </w:tcPr>
          <w:p w:rsidR="00D33EBE" w:rsidRDefault="00C819F0">
            <w:pPr>
              <w:spacing w:line="295" w:lineRule="auto"/>
              <w:ind w:firstLineChars="550" w:firstLine="1540"/>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等等级</w:t>
            </w:r>
          </w:p>
          <w:p w:rsidR="00D33EBE" w:rsidRDefault="00C819F0">
            <w:pPr>
              <w:spacing w:line="295" w:lineRule="auto"/>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级别</w:t>
            </w:r>
          </w:p>
        </w:tc>
        <w:tc>
          <w:tcPr>
            <w:tcW w:w="170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一、二名</w:t>
            </w:r>
          </w:p>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(特等奖、一等奖)</w:t>
            </w:r>
          </w:p>
        </w:tc>
        <w:tc>
          <w:tcPr>
            <w:tcW w:w="1418"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三、四名</w:t>
            </w:r>
          </w:p>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(二等奖)</w:t>
            </w:r>
          </w:p>
        </w:tc>
        <w:tc>
          <w:tcPr>
            <w:tcW w:w="1417"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五、六名</w:t>
            </w:r>
          </w:p>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(三等奖)</w:t>
            </w:r>
          </w:p>
        </w:tc>
        <w:tc>
          <w:tcPr>
            <w:tcW w:w="1714"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七、八名</w:t>
            </w:r>
          </w:p>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(鼓励奖、优胜奖、各类单设奖等)</w:t>
            </w:r>
          </w:p>
        </w:tc>
      </w:tr>
      <w:tr w:rsidR="00D33EBE">
        <w:trPr>
          <w:trHeight w:val="454"/>
          <w:jc w:val="center"/>
        </w:trPr>
        <w:tc>
          <w:tcPr>
            <w:tcW w:w="16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国家级</w:t>
            </w:r>
          </w:p>
        </w:tc>
        <w:tc>
          <w:tcPr>
            <w:tcW w:w="170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30</w:t>
            </w:r>
          </w:p>
        </w:tc>
        <w:tc>
          <w:tcPr>
            <w:tcW w:w="1418"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20</w:t>
            </w:r>
          </w:p>
        </w:tc>
        <w:tc>
          <w:tcPr>
            <w:tcW w:w="1417"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15</w:t>
            </w:r>
          </w:p>
        </w:tc>
        <w:tc>
          <w:tcPr>
            <w:tcW w:w="1714"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w:t>
            </w:r>
          </w:p>
        </w:tc>
      </w:tr>
      <w:tr w:rsidR="00D33EBE">
        <w:trPr>
          <w:trHeight w:val="454"/>
          <w:jc w:val="center"/>
        </w:trPr>
        <w:tc>
          <w:tcPr>
            <w:tcW w:w="16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省部级</w:t>
            </w:r>
          </w:p>
        </w:tc>
        <w:tc>
          <w:tcPr>
            <w:tcW w:w="170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20</w:t>
            </w:r>
          </w:p>
        </w:tc>
        <w:tc>
          <w:tcPr>
            <w:tcW w:w="1418"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15</w:t>
            </w:r>
          </w:p>
        </w:tc>
        <w:tc>
          <w:tcPr>
            <w:tcW w:w="1417"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w:t>
            </w:r>
          </w:p>
        </w:tc>
        <w:tc>
          <w:tcPr>
            <w:tcW w:w="1714"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w:t>
            </w:r>
          </w:p>
        </w:tc>
      </w:tr>
      <w:tr w:rsidR="00D33EBE">
        <w:trPr>
          <w:trHeight w:val="454"/>
          <w:jc w:val="center"/>
        </w:trPr>
        <w:tc>
          <w:tcPr>
            <w:tcW w:w="163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校　级</w:t>
            </w:r>
          </w:p>
        </w:tc>
        <w:tc>
          <w:tcPr>
            <w:tcW w:w="1701"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w:t>
            </w:r>
          </w:p>
        </w:tc>
        <w:tc>
          <w:tcPr>
            <w:tcW w:w="1714" w:type="dxa"/>
            <w:tcBorders>
              <w:top w:val="single" w:sz="4" w:space="0" w:color="auto"/>
              <w:left w:val="single" w:sz="4" w:space="0" w:color="auto"/>
              <w:bottom w:val="single" w:sz="4" w:space="0" w:color="auto"/>
              <w:right w:val="single" w:sz="4" w:space="0" w:color="auto"/>
            </w:tcBorders>
            <w:vAlign w:val="center"/>
          </w:tcPr>
          <w:p w:rsidR="00D33EBE" w:rsidRDefault="00C819F0">
            <w:pPr>
              <w:spacing w:line="295" w:lineRule="auto"/>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w:t>
            </w:r>
          </w:p>
        </w:tc>
      </w:tr>
    </w:tbl>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6</w:t>
      </w:r>
      <w:r>
        <w:rPr>
          <w:rFonts w:ascii="仿宋_GB2312" w:eastAsia="仿宋_GB2312" w:hAnsi="仿宋" w:cs="宋体" w:hint="eastAsia"/>
          <w:color w:val="000000"/>
          <w:kern w:val="0"/>
          <w:sz w:val="32"/>
          <w:szCs w:val="32"/>
        </w:rPr>
        <w:t>.集体项目由参与者分享加分。主力队员分享所得奖励分的</w:t>
      </w:r>
      <w:r>
        <w:rPr>
          <w:rFonts w:ascii="仿宋_GB2312" w:eastAsia="仿宋_GB2312" w:hAnsi="仿宋" w:cs="宋体"/>
          <w:color w:val="000000"/>
          <w:kern w:val="0"/>
          <w:sz w:val="32"/>
          <w:szCs w:val="32"/>
        </w:rPr>
        <w:t>2/3</w:t>
      </w:r>
      <w:r>
        <w:rPr>
          <w:rFonts w:ascii="仿宋_GB2312" w:eastAsia="仿宋_GB2312" w:hAnsi="仿宋" w:cs="宋体" w:hint="eastAsia"/>
          <w:color w:val="000000"/>
          <w:kern w:val="0"/>
          <w:sz w:val="32"/>
          <w:szCs w:val="32"/>
        </w:rPr>
        <w:t>，非主力队员分享所得奖励分的</w:t>
      </w:r>
      <w:r>
        <w:rPr>
          <w:rFonts w:ascii="仿宋_GB2312" w:eastAsia="仿宋_GB2312" w:hAnsi="仿宋" w:cs="宋体"/>
          <w:color w:val="000000"/>
          <w:kern w:val="0"/>
          <w:sz w:val="32"/>
          <w:szCs w:val="32"/>
        </w:rPr>
        <w:t>1/3</w:t>
      </w:r>
      <w:r>
        <w:rPr>
          <w:rFonts w:ascii="仿宋_GB2312" w:eastAsia="仿宋_GB2312" w:hAnsi="仿宋" w:cs="宋体" w:hint="eastAsia"/>
          <w:color w:val="000000"/>
          <w:kern w:val="0"/>
          <w:sz w:val="32"/>
          <w:szCs w:val="32"/>
        </w:rPr>
        <w:t>。</w:t>
      </w:r>
    </w:p>
    <w:p w:rsidR="00D33EBE" w:rsidRDefault="00C819F0" w:rsidP="002C3D50">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六、测评程序</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各学院(研究院)成立研究生综合测评领导小组，研究生综合测评领导小组由学院(研究院)党委(党总支)副书记、主管研究生教学工作的副院长、研究生辅导员、研究生教学秘书等人组成，组长由学院(研究院)党委(党总支)副书记担任。</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(二)</w:t>
      </w:r>
      <w:r>
        <w:rPr>
          <w:rFonts w:ascii="仿宋_GB2312" w:eastAsia="仿宋_GB2312" w:hAnsi="仿宋" w:cs="宋体" w:hint="eastAsia"/>
          <w:color w:val="000000"/>
          <w:kern w:val="0"/>
          <w:sz w:val="32"/>
          <w:szCs w:val="32"/>
        </w:rPr>
        <w:t>以班级为单位成立研究生综合测评工作小组。研究生综合测评工作小组由研究生辅导员、班级(党支部、团支部)主要学生干部、学生代表等组成，小组成员数要占学生数1/3以上，组长由研究生辅导员担任。</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(三)以班级为单位组织学生学习考核文件，进行个人总结、自我评价以及同学互评等。</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(四)每学年研究生综合测评时由学生本人提供年度申请加分的奖项证明。</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(五)研究生综合测评工作小组负责研究生综合测评结果的统计、审核和公示。研究生对测评结果有异议的，可在规</w:t>
      </w:r>
      <w:r>
        <w:rPr>
          <w:rFonts w:ascii="仿宋_GB2312" w:eastAsia="仿宋_GB2312" w:hAnsi="仿宋" w:cs="宋体" w:hint="eastAsia"/>
          <w:color w:val="000000"/>
          <w:kern w:val="0"/>
          <w:sz w:val="32"/>
          <w:szCs w:val="32"/>
        </w:rPr>
        <w:lastRenderedPageBreak/>
        <w:t>定时间内向学院(研究院)研究生综合测评领导小组申请复议，研究生综合测评领导小组接到学生的申请后，应在</w:t>
      </w: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个工作日内做出合理处理。</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(六)每学年研究生综合测评工作结束后，各学院(研究院)打印汇总表一式二份，由学院(研究院)党委(党总支)副书记签字并加盖学院(研究院)公章后，报送研究生工作部一份，学院(研究院)存档一份。</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七)每学年研究生综合测评工作结束后，可由各学院(研究院)研究生综合测评领导小组单独或与学术委员会共同制定下一学年的研究生综合测评细则，并在全院研究生中公示一周，无异议后上报研究生工作部审核，一经通过一年内不得修订。</w:t>
      </w:r>
    </w:p>
    <w:p w:rsidR="00D33EBE" w:rsidRDefault="00C819F0">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(八)本办法由外国语学院学生工作办公室负责解释。</w:t>
      </w:r>
    </w:p>
    <w:p w:rsidR="00D33EBE" w:rsidRDefault="00D33EBE">
      <w:pPr>
        <w:jc w:val="right"/>
      </w:pPr>
    </w:p>
    <w:p w:rsidR="00D33EBE" w:rsidRDefault="00D33EBE">
      <w:pPr>
        <w:adjustRightInd w:val="0"/>
        <w:snapToGrid w:val="0"/>
        <w:spacing w:line="560" w:lineRule="exact"/>
        <w:ind w:firstLineChars="200" w:firstLine="640"/>
        <w:jc w:val="right"/>
        <w:rPr>
          <w:rFonts w:ascii="仿宋_GB2312" w:eastAsia="仿宋_GB2312" w:hAnsi="仿宋" w:cs="宋体"/>
          <w:color w:val="000000"/>
          <w:kern w:val="0"/>
          <w:sz w:val="32"/>
          <w:szCs w:val="32"/>
        </w:rPr>
      </w:pPr>
    </w:p>
    <w:p w:rsidR="00D33EBE" w:rsidRDefault="00C819F0" w:rsidP="00F77A86">
      <w:pPr>
        <w:wordWrap w:val="0"/>
        <w:adjustRightInd w:val="0"/>
        <w:snapToGrid w:val="0"/>
        <w:spacing w:line="560" w:lineRule="exact"/>
        <w:ind w:firstLineChars="200" w:firstLine="640"/>
        <w:jc w:val="righ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中国石油大学（北京）</w:t>
      </w:r>
      <w:r w:rsidR="00F77A86">
        <w:rPr>
          <w:rFonts w:ascii="仿宋_GB2312" w:eastAsia="仿宋_GB2312" w:hAnsi="仿宋" w:cs="宋体" w:hint="eastAsia"/>
          <w:color w:val="000000"/>
          <w:kern w:val="0"/>
          <w:sz w:val="32"/>
          <w:szCs w:val="32"/>
        </w:rPr>
        <w:t>外国语学院</w:t>
      </w:r>
    </w:p>
    <w:p w:rsidR="00D33EBE" w:rsidRDefault="00C819F0">
      <w:pPr>
        <w:wordWrap w:val="0"/>
        <w:adjustRightInd w:val="0"/>
        <w:snapToGrid w:val="0"/>
        <w:spacing w:line="560" w:lineRule="exact"/>
        <w:ind w:firstLineChars="200" w:firstLine="640"/>
        <w:jc w:val="righ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201</w:t>
      </w:r>
      <w:r w:rsidR="005D44C8">
        <w:rPr>
          <w:rFonts w:ascii="仿宋_GB2312" w:eastAsia="仿宋_GB2312" w:hAnsi="仿宋" w:cs="宋体" w:hint="eastAsia"/>
          <w:color w:val="000000"/>
          <w:kern w:val="0"/>
          <w:sz w:val="32"/>
          <w:szCs w:val="32"/>
        </w:rPr>
        <w:t>8</w:t>
      </w:r>
      <w:r>
        <w:rPr>
          <w:rFonts w:ascii="仿宋_GB2312" w:eastAsia="仿宋_GB2312" w:hAnsi="仿宋" w:cs="宋体" w:hint="eastAsia"/>
          <w:color w:val="000000"/>
          <w:kern w:val="0"/>
          <w:sz w:val="32"/>
          <w:szCs w:val="32"/>
        </w:rPr>
        <w:t>年</w:t>
      </w:r>
      <w:r w:rsidR="005D44C8">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月</w:t>
      </w:r>
    </w:p>
    <w:sectPr w:rsidR="00D33EBE" w:rsidSect="00D067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D8E" w:rsidRDefault="00256D8E" w:rsidP="00E778E1">
      <w:r>
        <w:separator/>
      </w:r>
    </w:p>
  </w:endnote>
  <w:endnote w:type="continuationSeparator" w:id="1">
    <w:p w:rsidR="00256D8E" w:rsidRDefault="00256D8E" w:rsidP="00E77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D8E" w:rsidRDefault="00256D8E" w:rsidP="00E778E1">
      <w:r>
        <w:separator/>
      </w:r>
    </w:p>
  </w:footnote>
  <w:footnote w:type="continuationSeparator" w:id="1">
    <w:p w:rsidR="00256D8E" w:rsidRDefault="00256D8E" w:rsidP="00E77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5390"/>
    <w:multiLevelType w:val="hybridMultilevel"/>
    <w:tmpl w:val="957C2E66"/>
    <w:lvl w:ilvl="0" w:tplc="D8DCFCDE">
      <w:start w:val="1"/>
      <w:numFmt w:val="decimal"/>
      <w:lvlText w:val="（%1）"/>
      <w:lvlJc w:val="left"/>
      <w:pPr>
        <w:ind w:left="1560" w:hanging="720"/>
      </w:pPr>
      <w:rPr>
        <w:rFonts w:hint="eastAsia"/>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1">
    <w:nsid w:val="51A03B24"/>
    <w:multiLevelType w:val="hybridMultilevel"/>
    <w:tmpl w:val="957C2E66"/>
    <w:lvl w:ilvl="0" w:tplc="D8DCFCDE">
      <w:start w:val="1"/>
      <w:numFmt w:val="decimal"/>
      <w:lvlText w:val="（%1）"/>
      <w:lvlJc w:val="left"/>
      <w:pPr>
        <w:ind w:left="1560" w:hanging="720"/>
      </w:pPr>
      <w:rPr>
        <w:rFonts w:hint="eastAsia"/>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1FC112D"/>
    <w:rsid w:val="000D711C"/>
    <w:rsid w:val="001137FA"/>
    <w:rsid w:val="00141B1D"/>
    <w:rsid w:val="00150EDD"/>
    <w:rsid w:val="001C0131"/>
    <w:rsid w:val="00256D8E"/>
    <w:rsid w:val="002C3D50"/>
    <w:rsid w:val="0048491B"/>
    <w:rsid w:val="004868B1"/>
    <w:rsid w:val="004B3536"/>
    <w:rsid w:val="005D44C8"/>
    <w:rsid w:val="006C316B"/>
    <w:rsid w:val="00827E88"/>
    <w:rsid w:val="009A22F5"/>
    <w:rsid w:val="00A26D14"/>
    <w:rsid w:val="00A27E03"/>
    <w:rsid w:val="00BC1CE8"/>
    <w:rsid w:val="00BC74C5"/>
    <w:rsid w:val="00C819F0"/>
    <w:rsid w:val="00C95C2A"/>
    <w:rsid w:val="00CF3829"/>
    <w:rsid w:val="00D067FE"/>
    <w:rsid w:val="00D33EBE"/>
    <w:rsid w:val="00DF2714"/>
    <w:rsid w:val="00E778E1"/>
    <w:rsid w:val="00ED7A2B"/>
    <w:rsid w:val="00EF326B"/>
    <w:rsid w:val="00F77A86"/>
    <w:rsid w:val="00FE402A"/>
    <w:rsid w:val="41FC11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7F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unhideWhenUsed/>
    <w:rsid w:val="00484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77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778E1"/>
    <w:rPr>
      <w:rFonts w:asciiTheme="minorHAnsi" w:eastAsiaTheme="minorEastAsia" w:hAnsiTheme="minorHAnsi" w:cstheme="minorBidi"/>
      <w:kern w:val="2"/>
      <w:sz w:val="18"/>
      <w:szCs w:val="18"/>
    </w:rPr>
  </w:style>
  <w:style w:type="paragraph" w:styleId="a5">
    <w:name w:val="footer"/>
    <w:basedOn w:val="a"/>
    <w:link w:val="Char0"/>
    <w:rsid w:val="00E778E1"/>
    <w:pPr>
      <w:tabs>
        <w:tab w:val="center" w:pos="4153"/>
        <w:tab w:val="right" w:pos="8306"/>
      </w:tabs>
      <w:snapToGrid w:val="0"/>
      <w:jc w:val="left"/>
    </w:pPr>
    <w:rPr>
      <w:sz w:val="18"/>
      <w:szCs w:val="18"/>
    </w:rPr>
  </w:style>
  <w:style w:type="character" w:customStyle="1" w:styleId="Char0">
    <w:name w:val="页脚 Char"/>
    <w:basedOn w:val="a0"/>
    <w:link w:val="a5"/>
    <w:rsid w:val="00E778E1"/>
    <w:rPr>
      <w:rFonts w:asciiTheme="minorHAnsi" w:eastAsiaTheme="minorEastAsia" w:hAnsiTheme="minorHAnsi" w:cstheme="minorBidi"/>
      <w:kern w:val="2"/>
      <w:sz w:val="18"/>
      <w:szCs w:val="18"/>
    </w:rPr>
  </w:style>
  <w:style w:type="paragraph" w:styleId="a6">
    <w:name w:val="Balloon Text"/>
    <w:basedOn w:val="a"/>
    <w:link w:val="Char1"/>
    <w:rsid w:val="000D711C"/>
    <w:rPr>
      <w:sz w:val="18"/>
      <w:szCs w:val="18"/>
    </w:rPr>
  </w:style>
  <w:style w:type="character" w:customStyle="1" w:styleId="Char1">
    <w:name w:val="批注框文本 Char"/>
    <w:basedOn w:val="a0"/>
    <w:link w:val="a6"/>
    <w:rsid w:val="000D711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3C9631-EFE9-4EFE-8901-361649CAD5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601</Words>
  <Characters>3426</Characters>
  <Application>Microsoft Office Word</Application>
  <DocSecurity>0</DocSecurity>
  <Lines>28</Lines>
  <Paragraphs>8</Paragraphs>
  <ScaleCrop>false</ScaleCrop>
  <Company>Microsoft</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cp:lastPrinted>2017-03-14T07:05:00Z</cp:lastPrinted>
  <dcterms:created xsi:type="dcterms:W3CDTF">2018-01-12T09:06:00Z</dcterms:created>
  <dcterms:modified xsi:type="dcterms:W3CDTF">2018-03-06T01:35:00Z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