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C8E35">
      <w:pPr>
        <w:jc w:val="center"/>
        <w:rPr>
          <w:rFonts w:ascii="仿宋" w:hAnsi="仿宋" w:eastAsia="仿宋" w:cs="宋体"/>
          <w:b/>
          <w:color w:val="000000" w:themeColor="text1"/>
          <w:kern w:val="0"/>
          <w:sz w:val="36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/>
          <w:color w:val="000000" w:themeColor="text1"/>
          <w:kern w:val="0"/>
          <w:sz w:val="36"/>
          <w:szCs w:val="28"/>
          <w14:textFill>
            <w14:solidFill>
              <w14:schemeClr w14:val="tx1"/>
            </w14:solidFill>
          </w14:textFill>
        </w:rPr>
        <w:t>关于规范研究生学位审批材料</w:t>
      </w:r>
    </w:p>
    <w:p w14:paraId="3E9878FF">
      <w:pPr>
        <w:jc w:val="center"/>
        <w:rPr>
          <w:rFonts w:ascii="仿宋" w:hAnsi="仿宋" w:eastAsia="仿宋" w:cs="宋体"/>
          <w:b/>
          <w:color w:val="000000" w:themeColor="text1"/>
          <w:kern w:val="0"/>
          <w:sz w:val="36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/>
          <w:color w:val="000000" w:themeColor="text1"/>
          <w:kern w:val="0"/>
          <w:sz w:val="36"/>
          <w:szCs w:val="28"/>
          <w14:textFill>
            <w14:solidFill>
              <w14:schemeClr w14:val="tx1"/>
            </w14:solidFill>
          </w14:textFill>
        </w:rPr>
        <w:t>（存研究生档案）审查和移交的通知</w:t>
      </w:r>
    </w:p>
    <w:p w14:paraId="7A669E48">
      <w:pPr>
        <w:widowControl/>
        <w:shd w:val="clear" w:color="auto" w:fill="FFFFFF"/>
        <w:spacing w:line="288" w:lineRule="auto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各学院：</w:t>
      </w:r>
    </w:p>
    <w:p w14:paraId="4DD33394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“研究生学位审批材料（存研究生档案）”（以下简称“研究生个人档案”）是研究生学业和学位审批过程的重要记录和凭证，也是人事管理和服务的依据。为配合做好毕业生离校服务保障工作，提高研究生学位授予和档案流转效率，</w:t>
      </w:r>
      <w:r>
        <w:rPr>
          <w:rFonts w:hint="eastAsia" w:ascii="仿宋" w:hAnsi="仿宋" w:eastAsia="仿宋" w:cs="宋体"/>
          <w:b/>
          <w:kern w:val="0"/>
          <w:sz w:val="32"/>
          <w:szCs w:val="28"/>
        </w:rPr>
        <w:t>研究生个人档案由学院审查、装订、整理后移交</w:t>
      </w:r>
      <w:r>
        <w:rPr>
          <w:rFonts w:hint="eastAsia" w:ascii="仿宋" w:hAnsi="仿宋" w:eastAsia="仿宋" w:cs="宋体"/>
          <w:kern w:val="0"/>
          <w:sz w:val="32"/>
          <w:szCs w:val="28"/>
        </w:rPr>
        <w:t>。安排如下：</w:t>
      </w:r>
    </w:p>
    <w:p w14:paraId="3A6EA5AF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b/>
          <w:kern w:val="0"/>
          <w:sz w:val="32"/>
          <w:szCs w:val="28"/>
        </w:rPr>
      </w:pPr>
      <w:r>
        <w:rPr>
          <w:rFonts w:hint="eastAsia" w:ascii="仿宋" w:hAnsi="仿宋" w:eastAsia="仿宋" w:cs="宋体"/>
          <w:b/>
          <w:kern w:val="0"/>
          <w:sz w:val="32"/>
          <w:szCs w:val="28"/>
        </w:rPr>
        <w:t>一、移交材料</w:t>
      </w:r>
    </w:p>
    <w:p w14:paraId="41D6FA26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本批次授予博士学位、硕士学位人员的研究生个人档案，具体包含：</w:t>
      </w:r>
    </w:p>
    <w:tbl>
      <w:tblPr>
        <w:tblStyle w:val="6"/>
        <w:tblW w:w="5554" w:type="pct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2768"/>
        <w:gridCol w:w="5678"/>
      </w:tblGrid>
      <w:tr w14:paraId="09D24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759E5"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 w:val="32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4"/>
              </w:rPr>
              <w:t>序号</w:t>
            </w:r>
          </w:p>
        </w:tc>
        <w:tc>
          <w:tcPr>
            <w:tcW w:w="1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09B15"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 w:val="32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4"/>
              </w:rPr>
              <w:t>材料</w:t>
            </w:r>
          </w:p>
        </w:tc>
        <w:tc>
          <w:tcPr>
            <w:tcW w:w="2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A35E4"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sz w:val="32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32"/>
                <w:szCs w:val="24"/>
              </w:rPr>
              <w:t>说明</w:t>
            </w:r>
          </w:p>
        </w:tc>
      </w:tr>
      <w:tr w14:paraId="1DB9A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B151A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ascii="仿宋" w:hAnsi="仿宋" w:eastAsia="仿宋"/>
                <w:sz w:val="32"/>
                <w:szCs w:val="24"/>
              </w:rPr>
              <w:t>0</w:t>
            </w:r>
          </w:p>
        </w:tc>
        <w:tc>
          <w:tcPr>
            <w:tcW w:w="1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5812E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封面</w:t>
            </w:r>
          </w:p>
        </w:tc>
        <w:tc>
          <w:tcPr>
            <w:tcW w:w="2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9896A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以学生为单位，按照封面顺序整理材料、装订。</w:t>
            </w:r>
          </w:p>
        </w:tc>
      </w:tr>
      <w:tr w14:paraId="24265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9AE0A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ascii="仿宋" w:hAnsi="仿宋" w:eastAsia="仿宋"/>
                <w:sz w:val="32"/>
                <w:szCs w:val="24"/>
              </w:rPr>
              <w:t>1</w:t>
            </w:r>
          </w:p>
        </w:tc>
        <w:tc>
          <w:tcPr>
            <w:tcW w:w="1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9C48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答辩决议书</w:t>
            </w:r>
          </w:p>
        </w:tc>
        <w:tc>
          <w:tcPr>
            <w:tcW w:w="2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70AB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填写规范完整；</w:t>
            </w:r>
          </w:p>
          <w:p w14:paraId="387D0300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可使用电子签名；</w:t>
            </w:r>
          </w:p>
          <w:p w14:paraId="2EE8D74A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落款日期为答辩日期；</w:t>
            </w:r>
          </w:p>
          <w:p w14:paraId="359805E1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单面打印。</w:t>
            </w:r>
          </w:p>
        </w:tc>
      </w:tr>
      <w:tr w14:paraId="05560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012A7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ascii="仿宋" w:hAnsi="仿宋" w:eastAsia="仿宋"/>
                <w:sz w:val="32"/>
                <w:szCs w:val="24"/>
              </w:rPr>
              <w:t>2</w:t>
            </w:r>
          </w:p>
        </w:tc>
        <w:tc>
          <w:tcPr>
            <w:tcW w:w="1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88E65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成绩单</w:t>
            </w:r>
          </w:p>
        </w:tc>
        <w:tc>
          <w:tcPr>
            <w:tcW w:w="2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BB11A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加盖培养办公章，红色印章清晰、完整。</w:t>
            </w:r>
          </w:p>
        </w:tc>
      </w:tr>
      <w:tr w14:paraId="4779F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A4EA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3</w:t>
            </w:r>
          </w:p>
        </w:tc>
        <w:tc>
          <w:tcPr>
            <w:tcW w:w="14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F94E0">
            <w:pPr>
              <w:spacing w:line="360" w:lineRule="exact"/>
              <w:jc w:val="center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授予学位的决定</w:t>
            </w:r>
          </w:p>
        </w:tc>
        <w:tc>
          <w:tcPr>
            <w:tcW w:w="2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F367C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学位办公室印制后分发给各学院，各学院装订。</w:t>
            </w:r>
          </w:p>
        </w:tc>
      </w:tr>
      <w:tr w14:paraId="16AB2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35974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4</w:t>
            </w:r>
            <w:r>
              <w:rPr>
                <w:rFonts w:ascii="仿宋" w:hAnsi="仿宋" w:eastAsia="仿宋"/>
                <w:sz w:val="32"/>
                <w:szCs w:val="24"/>
              </w:rPr>
              <w:t>.</w:t>
            </w:r>
            <w:r>
              <w:rPr>
                <w:rFonts w:hint="eastAsia" w:ascii="仿宋" w:hAnsi="仿宋" w:eastAsia="仿宋"/>
                <w:sz w:val="32"/>
                <w:szCs w:val="24"/>
              </w:rPr>
              <w:t>整理要求</w:t>
            </w:r>
          </w:p>
          <w:p w14:paraId="28EB8358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（1）根据校学位委员会作出的授予学位决议，分别按照博士和硕士学号“从小到大”（上小下大）的顺序排序，不区分学术学位和专业学位类别。</w:t>
            </w:r>
          </w:p>
          <w:p w14:paraId="6E1A9664">
            <w:pPr>
              <w:spacing w:line="360" w:lineRule="exact"/>
              <w:rPr>
                <w:rFonts w:ascii="仿宋" w:hAnsi="仿宋" w:eastAsia="仿宋"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32"/>
                <w:szCs w:val="24"/>
              </w:rPr>
              <w:t>（2）</w:t>
            </w:r>
            <w:r>
              <w:rPr>
                <w:rFonts w:hint="eastAsia" w:ascii="仿宋" w:hAnsi="仿宋" w:eastAsia="仿宋"/>
                <w:b/>
                <w:sz w:val="32"/>
                <w:szCs w:val="24"/>
              </w:rPr>
              <w:t>务必提前培训答辩秘书，规范材料填写、审查、整理工作</w:t>
            </w:r>
            <w:r>
              <w:rPr>
                <w:rFonts w:hint="eastAsia" w:ascii="仿宋" w:hAnsi="仿宋" w:eastAsia="仿宋"/>
                <w:sz w:val="32"/>
                <w:szCs w:val="24"/>
              </w:rPr>
              <w:t>。</w:t>
            </w:r>
          </w:p>
          <w:p w14:paraId="0D0868DA">
            <w:pPr>
              <w:spacing w:line="360" w:lineRule="exact"/>
              <w:rPr>
                <w:rFonts w:ascii="仿宋" w:hAnsi="仿宋" w:eastAsia="仿宋"/>
                <w:bCs/>
                <w:sz w:val="32"/>
                <w:szCs w:val="24"/>
              </w:rPr>
            </w:pPr>
            <w:r>
              <w:rPr>
                <w:rFonts w:hint="eastAsia" w:ascii="仿宋" w:hAnsi="仿宋" w:eastAsia="仿宋"/>
                <w:bCs/>
                <w:sz w:val="32"/>
                <w:szCs w:val="24"/>
              </w:rPr>
              <w:t>（3）不要额外添加封面目录以外的材料，如学位审批表等。</w:t>
            </w:r>
          </w:p>
        </w:tc>
      </w:tr>
    </w:tbl>
    <w:p w14:paraId="3E846B54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b/>
          <w:kern w:val="0"/>
          <w:sz w:val="32"/>
          <w:szCs w:val="28"/>
        </w:rPr>
      </w:pPr>
      <w:r>
        <w:rPr>
          <w:rFonts w:hint="eastAsia" w:ascii="仿宋" w:hAnsi="仿宋" w:eastAsia="仿宋" w:cs="宋体"/>
          <w:b/>
          <w:kern w:val="0"/>
          <w:sz w:val="32"/>
          <w:szCs w:val="28"/>
        </w:rPr>
        <w:t>二、工作流程</w:t>
      </w:r>
    </w:p>
    <w:p w14:paraId="79165A4B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（一）答辩结束后，</w:t>
      </w:r>
      <w:r>
        <w:rPr>
          <w:rFonts w:hint="eastAsia" w:ascii="仿宋" w:hAnsi="仿宋" w:eastAsia="仿宋" w:cs="宋体"/>
          <w:b/>
          <w:kern w:val="0"/>
          <w:sz w:val="32"/>
          <w:szCs w:val="28"/>
          <w:u w:val="single"/>
        </w:rPr>
        <w:t>答辩秘书</w:t>
      </w:r>
      <w:r>
        <w:rPr>
          <w:rFonts w:hint="eastAsia" w:ascii="仿宋" w:hAnsi="仿宋" w:eastAsia="仿宋" w:cs="宋体"/>
          <w:kern w:val="0"/>
          <w:sz w:val="32"/>
          <w:szCs w:val="28"/>
        </w:rPr>
        <w:t>整理研究生个人档案（不含“授予学位的决定”），核查无误后交各学院审查。</w:t>
      </w:r>
    </w:p>
    <w:p w14:paraId="6992D4D9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（二）各</w:t>
      </w:r>
      <w:r>
        <w:rPr>
          <w:rFonts w:hint="eastAsia" w:ascii="仿宋" w:hAnsi="仿宋" w:eastAsia="仿宋" w:cs="宋体"/>
          <w:b/>
          <w:kern w:val="0"/>
          <w:sz w:val="32"/>
          <w:szCs w:val="28"/>
          <w:u w:val="single"/>
        </w:rPr>
        <w:t>学院</w:t>
      </w:r>
      <w:r>
        <w:rPr>
          <w:rFonts w:hint="eastAsia" w:ascii="仿宋" w:hAnsi="仿宋" w:eastAsia="仿宋" w:cs="宋体"/>
          <w:kern w:val="0"/>
          <w:sz w:val="32"/>
          <w:szCs w:val="28"/>
        </w:rPr>
        <w:t>应将申请学位的有关材料整理立卷，交</w:t>
      </w:r>
      <w:r>
        <w:rPr>
          <w:rFonts w:hint="eastAsia" w:ascii="仿宋" w:hAnsi="仿宋" w:eastAsia="仿宋" w:cs="宋体"/>
          <w:b/>
          <w:kern w:val="0"/>
          <w:sz w:val="32"/>
          <w:szCs w:val="28"/>
        </w:rPr>
        <w:t>学位分委员会审查</w:t>
      </w:r>
      <w:r>
        <w:rPr>
          <w:rFonts w:hint="eastAsia" w:ascii="仿宋" w:hAnsi="仿宋" w:eastAsia="仿宋" w:cs="宋体"/>
          <w:kern w:val="0"/>
          <w:sz w:val="32"/>
          <w:szCs w:val="28"/>
        </w:rPr>
        <w:t>。</w:t>
      </w:r>
    </w:p>
    <w:p w14:paraId="40FC6E5C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（三）</w:t>
      </w:r>
      <w:r>
        <w:rPr>
          <w:rFonts w:hint="eastAsia" w:ascii="仿宋" w:hAnsi="仿宋" w:eastAsia="仿宋" w:cs="宋体"/>
          <w:b/>
          <w:kern w:val="0"/>
          <w:sz w:val="32"/>
          <w:szCs w:val="28"/>
          <w:u w:val="single"/>
        </w:rPr>
        <w:t>学位分委员会</w:t>
      </w:r>
      <w:r>
        <w:rPr>
          <w:rFonts w:hint="eastAsia" w:ascii="仿宋" w:hAnsi="仿宋" w:eastAsia="仿宋" w:cs="宋体"/>
          <w:kern w:val="0"/>
          <w:sz w:val="32"/>
          <w:szCs w:val="28"/>
        </w:rPr>
        <w:t>全面审查学位申请人的思想政治表现、培养方案执行、学术研究或专业实践训练、学位论文或实践成果质量、创新性成果水平、答辩组织及决议等情况，确定授予学位的建议名单,报送学位办公室审核，提请校学位评定委员会审议。</w:t>
      </w:r>
    </w:p>
    <w:p w14:paraId="2F229DFC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（四）</w:t>
      </w:r>
      <w:r>
        <w:rPr>
          <w:rFonts w:hint="eastAsia" w:ascii="仿宋" w:hAnsi="仿宋" w:eastAsia="仿宋" w:cs="宋体"/>
          <w:b/>
          <w:kern w:val="0"/>
          <w:sz w:val="32"/>
          <w:szCs w:val="28"/>
          <w:u w:val="single"/>
        </w:rPr>
        <w:t>学位办公室</w:t>
      </w:r>
      <w:r>
        <w:rPr>
          <w:rFonts w:hint="eastAsia" w:ascii="仿宋" w:hAnsi="仿宋" w:eastAsia="仿宋" w:cs="宋体"/>
          <w:kern w:val="0"/>
          <w:sz w:val="32"/>
          <w:szCs w:val="28"/>
        </w:rPr>
        <w:t>根据校学位委员会作出的授予学位决定，印制“授予学位的决定”并附“接收清单”，分发给各学院。</w:t>
      </w:r>
    </w:p>
    <w:p w14:paraId="5E1388DD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（五）各</w:t>
      </w:r>
      <w:r>
        <w:rPr>
          <w:rFonts w:hint="eastAsia" w:ascii="仿宋" w:hAnsi="仿宋" w:eastAsia="仿宋" w:cs="宋体"/>
          <w:b/>
          <w:kern w:val="0"/>
          <w:sz w:val="32"/>
          <w:szCs w:val="28"/>
          <w:u w:val="single"/>
        </w:rPr>
        <w:t>学院</w:t>
      </w:r>
      <w:r>
        <w:rPr>
          <w:rFonts w:hint="eastAsia" w:ascii="仿宋" w:hAnsi="仿宋" w:eastAsia="仿宋" w:cs="宋体"/>
          <w:kern w:val="0"/>
          <w:sz w:val="32"/>
          <w:szCs w:val="28"/>
        </w:rPr>
        <w:t>清点无误后签收，将“授予学位的决定”装订在研究生个人档案中，向学生档案室移交（须携带“接收清单”）。</w:t>
      </w:r>
    </w:p>
    <w:p w14:paraId="2E766898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（六）</w:t>
      </w:r>
      <w:r>
        <w:rPr>
          <w:rFonts w:hint="eastAsia" w:ascii="仿宋" w:hAnsi="仿宋" w:eastAsia="仿宋" w:cs="宋体"/>
          <w:b/>
          <w:kern w:val="0"/>
          <w:sz w:val="32"/>
          <w:szCs w:val="28"/>
          <w:u w:val="single"/>
        </w:rPr>
        <w:t>学生档案室</w:t>
      </w:r>
      <w:r>
        <w:rPr>
          <w:rFonts w:hint="eastAsia" w:ascii="仿宋" w:hAnsi="仿宋" w:eastAsia="仿宋" w:cs="宋体"/>
          <w:kern w:val="0"/>
          <w:sz w:val="32"/>
          <w:szCs w:val="28"/>
        </w:rPr>
        <w:t>根据学位办公室提供的名单，逐个清点学院移交的研究生个人档案，清点无误后双方分别在“接收清单”签字，并各自留存；学院留存的“接收清单”作为教学检查的材料之一。</w:t>
      </w:r>
    </w:p>
    <w:p w14:paraId="0F974EB0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b/>
          <w:kern w:val="0"/>
          <w:sz w:val="32"/>
          <w:szCs w:val="28"/>
        </w:rPr>
      </w:pPr>
      <w:r>
        <w:rPr>
          <w:rFonts w:hint="eastAsia" w:ascii="仿宋" w:hAnsi="仿宋" w:eastAsia="仿宋" w:cs="宋体"/>
          <w:b/>
          <w:kern w:val="0"/>
          <w:sz w:val="32"/>
          <w:szCs w:val="28"/>
        </w:rPr>
        <w:t>二、移交时间</w:t>
      </w:r>
    </w:p>
    <w:p w14:paraId="7DC3FE61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b/>
          <w:kern w:val="0"/>
          <w:sz w:val="32"/>
          <w:szCs w:val="28"/>
        </w:rPr>
      </w:pPr>
      <w:r>
        <w:rPr>
          <w:rFonts w:hint="eastAsia" w:ascii="仿宋" w:hAnsi="仿宋" w:eastAsia="仿宋" w:cs="宋体"/>
          <w:b/>
          <w:kern w:val="0"/>
          <w:sz w:val="32"/>
          <w:szCs w:val="28"/>
        </w:rPr>
        <w:t>学院签收学位授予决定后2个工作日</w:t>
      </w:r>
    </w:p>
    <w:p w14:paraId="68A58323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b/>
          <w:kern w:val="0"/>
          <w:sz w:val="32"/>
          <w:szCs w:val="28"/>
        </w:rPr>
      </w:pPr>
      <w:r>
        <w:rPr>
          <w:rFonts w:hint="eastAsia" w:ascii="仿宋" w:hAnsi="仿宋" w:eastAsia="仿宋" w:cs="宋体"/>
          <w:b/>
          <w:kern w:val="0"/>
          <w:sz w:val="32"/>
          <w:szCs w:val="28"/>
        </w:rPr>
        <w:t>三、接收部门</w:t>
      </w:r>
    </w:p>
    <w:p w14:paraId="30A4B985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学生档案室接收中国学生研究生个人档案，陈老师，89739135，学生活动中心310办公室；</w:t>
      </w:r>
    </w:p>
    <w:p w14:paraId="3A6DFB0F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学位办公室接收留学生研究生个人档案后统一向国际教育学院移交。</w:t>
      </w:r>
    </w:p>
    <w:p w14:paraId="28453CD3">
      <w:pPr>
        <w:widowControl/>
        <w:shd w:val="clear" w:color="auto" w:fill="FFFFFF"/>
        <w:spacing w:line="288" w:lineRule="auto"/>
        <w:ind w:firstLine="574"/>
        <w:textAlignment w:val="top"/>
        <w:rPr>
          <w:rFonts w:ascii="仿宋" w:hAnsi="仿宋" w:eastAsia="仿宋" w:cs="宋体"/>
          <w:b/>
          <w:kern w:val="0"/>
          <w:sz w:val="32"/>
          <w:szCs w:val="28"/>
        </w:rPr>
      </w:pPr>
      <w:r>
        <w:rPr>
          <w:rFonts w:hint="eastAsia" w:ascii="仿宋" w:hAnsi="仿宋" w:eastAsia="仿宋" w:cs="宋体"/>
          <w:b/>
          <w:kern w:val="0"/>
          <w:sz w:val="32"/>
          <w:szCs w:val="28"/>
        </w:rPr>
        <w:t>四、工作要求</w:t>
      </w:r>
    </w:p>
    <w:p w14:paraId="033B4458">
      <w:pPr>
        <w:widowControl/>
        <w:shd w:val="clear" w:color="auto" w:fill="FFFFFF"/>
        <w:spacing w:line="288" w:lineRule="auto"/>
        <w:ind w:firstLine="640" w:firstLineChars="200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（一）各学院务必高度重视，在召开学位分委会前须严格审查档案的规范性、准确性和完整性，安排专人负责，按照要求做好研究生个人档案移交工作。</w:t>
      </w:r>
    </w:p>
    <w:p w14:paraId="13B9A7B5">
      <w:pPr>
        <w:widowControl/>
        <w:shd w:val="clear" w:color="auto" w:fill="FFFFFF"/>
        <w:spacing w:line="288" w:lineRule="auto"/>
        <w:ind w:firstLine="640" w:firstLineChars="200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（二）学生档案室严格按照学位办公室提供的接收名单清点、签收档案。</w:t>
      </w:r>
    </w:p>
    <w:p w14:paraId="54638606">
      <w:pPr>
        <w:widowControl/>
        <w:shd w:val="clear" w:color="auto" w:fill="FFFFFF"/>
        <w:spacing w:line="288" w:lineRule="auto"/>
        <w:ind w:firstLine="640" w:firstLineChars="200"/>
        <w:textAlignment w:val="top"/>
        <w:rPr>
          <w:rFonts w:ascii="仿宋" w:hAnsi="仿宋" w:eastAsia="仿宋" w:cs="宋体"/>
          <w:kern w:val="0"/>
          <w:sz w:val="32"/>
          <w:szCs w:val="28"/>
        </w:rPr>
      </w:pPr>
      <w:r>
        <w:rPr>
          <w:rFonts w:hint="eastAsia" w:ascii="仿宋" w:hAnsi="仿宋" w:eastAsia="仿宋" w:cs="宋体"/>
          <w:kern w:val="0"/>
          <w:sz w:val="32"/>
          <w:szCs w:val="28"/>
        </w:rPr>
        <w:t>（三）学位办公室确保准确发送接收名单，及时印制并分发“授予学位的决定”。</w:t>
      </w:r>
    </w:p>
    <w:p w14:paraId="091978AA">
      <w:pPr>
        <w:widowControl/>
        <w:shd w:val="clear" w:color="auto" w:fill="FFFFFF"/>
        <w:spacing w:line="288" w:lineRule="auto"/>
        <w:ind w:firstLine="640" w:firstLineChars="200"/>
        <w:textAlignment w:val="top"/>
        <w:rPr>
          <w:rFonts w:ascii="仿宋" w:hAnsi="仿宋" w:eastAsia="仿宋" w:cs="宋体"/>
          <w:bCs/>
          <w:kern w:val="0"/>
          <w:sz w:val="32"/>
          <w:szCs w:val="28"/>
        </w:rPr>
      </w:pPr>
      <w:r>
        <w:rPr>
          <w:rFonts w:hint="eastAsia" w:ascii="仿宋" w:hAnsi="仿宋" w:eastAsia="仿宋" w:cs="宋体"/>
          <w:bCs/>
          <w:kern w:val="0"/>
          <w:sz w:val="32"/>
          <w:szCs w:val="28"/>
        </w:rPr>
        <w:t>（四）校区招生的研究生，由校区研究生部审查研究生学位审批材料（存研究生档案），并装订学位授予决定（研究生院印制并邮寄至校区研究生部），向校区档案管理部门归档并进行档案转递。</w:t>
      </w:r>
    </w:p>
    <w:p w14:paraId="3136B520">
      <w:pPr>
        <w:spacing w:line="288" w:lineRule="auto"/>
        <w:ind w:firstLine="640" w:firstLineChars="200"/>
        <w:rPr>
          <w:rFonts w:ascii="仿宋" w:hAnsi="仿宋" w:eastAsia="仿宋" w:cs="宋体"/>
          <w:b/>
          <w:bCs/>
          <w:kern w:val="0"/>
          <w:sz w:val="32"/>
          <w:szCs w:val="28"/>
        </w:rPr>
      </w:pPr>
      <w:r>
        <w:rPr>
          <w:rFonts w:hint="eastAsia" w:ascii="仿宋" w:hAnsi="仿宋" w:eastAsia="仿宋" w:cs="宋体"/>
          <w:bCs/>
          <w:kern w:val="0"/>
          <w:sz w:val="32"/>
          <w:szCs w:val="28"/>
        </w:rPr>
        <w:t>（五）</w:t>
      </w:r>
      <w:r>
        <w:rPr>
          <w:rFonts w:hint="eastAsia" w:ascii="仿宋" w:hAnsi="仿宋" w:eastAsia="仿宋" w:cs="宋体"/>
          <w:b/>
          <w:bCs/>
          <w:kern w:val="0"/>
          <w:sz w:val="32"/>
          <w:szCs w:val="28"/>
        </w:rPr>
        <w:t>档案审查、整理和移交等全过程不得交与研究生本人！</w:t>
      </w:r>
    </w:p>
    <w:p w14:paraId="7C30A724">
      <w:pPr>
        <w:spacing w:line="288" w:lineRule="auto"/>
        <w:ind w:firstLine="643" w:firstLineChars="200"/>
        <w:rPr>
          <w:rFonts w:hint="eastAsia" w:ascii="仿宋" w:hAnsi="仿宋" w:eastAsia="仿宋" w:cs="宋体"/>
          <w:b/>
          <w:bCs/>
          <w:kern w:val="0"/>
          <w:sz w:val="32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32"/>
          <w:szCs w:val="28"/>
        </w:rPr>
        <w:t>附：研究生学位审批材料（存研究生档案）归档说明</w:t>
      </w:r>
    </w:p>
    <w:p w14:paraId="1ACF5C47">
      <w:pPr>
        <w:spacing w:line="288" w:lineRule="auto"/>
        <w:rPr>
          <w:sz w:val="22"/>
        </w:rPr>
      </w:pPr>
    </w:p>
    <w:p w14:paraId="2013C67E">
      <w:pPr>
        <w:spacing w:line="288" w:lineRule="auto"/>
        <w:rPr>
          <w:sz w:val="22"/>
        </w:rPr>
      </w:pPr>
    </w:p>
    <w:p w14:paraId="2BD1985A">
      <w:pPr>
        <w:spacing w:line="288" w:lineRule="auto"/>
        <w:jc w:val="right"/>
        <w:rPr>
          <w:rFonts w:ascii="仿宋" w:hAnsi="仿宋" w:eastAsia="仿宋" w:cs="宋体"/>
          <w:kern w:val="0"/>
          <w:sz w:val="32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B9B"/>
    <w:rsid w:val="00000470"/>
    <w:rsid w:val="00035DC8"/>
    <w:rsid w:val="00071984"/>
    <w:rsid w:val="000C292B"/>
    <w:rsid w:val="001026AA"/>
    <w:rsid w:val="00110B03"/>
    <w:rsid w:val="00125DCB"/>
    <w:rsid w:val="00134488"/>
    <w:rsid w:val="00137FFA"/>
    <w:rsid w:val="001717DB"/>
    <w:rsid w:val="001E769E"/>
    <w:rsid w:val="001F6C36"/>
    <w:rsid w:val="00212677"/>
    <w:rsid w:val="00212F89"/>
    <w:rsid w:val="00214F68"/>
    <w:rsid w:val="002759E4"/>
    <w:rsid w:val="0029157D"/>
    <w:rsid w:val="00291DEE"/>
    <w:rsid w:val="002D25F2"/>
    <w:rsid w:val="002E7AD0"/>
    <w:rsid w:val="00341529"/>
    <w:rsid w:val="0036313A"/>
    <w:rsid w:val="00387133"/>
    <w:rsid w:val="003D4C1D"/>
    <w:rsid w:val="003E34C0"/>
    <w:rsid w:val="003F0559"/>
    <w:rsid w:val="003F3837"/>
    <w:rsid w:val="00400AC8"/>
    <w:rsid w:val="00446E16"/>
    <w:rsid w:val="00486BF8"/>
    <w:rsid w:val="004925A8"/>
    <w:rsid w:val="004A3F42"/>
    <w:rsid w:val="004A3F46"/>
    <w:rsid w:val="004A46DE"/>
    <w:rsid w:val="004B3D44"/>
    <w:rsid w:val="004E120C"/>
    <w:rsid w:val="0050561D"/>
    <w:rsid w:val="005119F7"/>
    <w:rsid w:val="00553750"/>
    <w:rsid w:val="00566C77"/>
    <w:rsid w:val="005B1579"/>
    <w:rsid w:val="005C1B78"/>
    <w:rsid w:val="005E51CC"/>
    <w:rsid w:val="005F095F"/>
    <w:rsid w:val="005F69D9"/>
    <w:rsid w:val="006151E9"/>
    <w:rsid w:val="0063593F"/>
    <w:rsid w:val="006471B9"/>
    <w:rsid w:val="00653ACA"/>
    <w:rsid w:val="00662166"/>
    <w:rsid w:val="0066622E"/>
    <w:rsid w:val="006A5A9C"/>
    <w:rsid w:val="006A7104"/>
    <w:rsid w:val="006C0C06"/>
    <w:rsid w:val="006C40F8"/>
    <w:rsid w:val="006C7006"/>
    <w:rsid w:val="006C7502"/>
    <w:rsid w:val="006E131A"/>
    <w:rsid w:val="006E1D61"/>
    <w:rsid w:val="00700EFB"/>
    <w:rsid w:val="007021B4"/>
    <w:rsid w:val="00734B3A"/>
    <w:rsid w:val="00736367"/>
    <w:rsid w:val="00760616"/>
    <w:rsid w:val="007A07C7"/>
    <w:rsid w:val="007A352A"/>
    <w:rsid w:val="007A5D6B"/>
    <w:rsid w:val="007A6773"/>
    <w:rsid w:val="007D7DE7"/>
    <w:rsid w:val="007E2A0F"/>
    <w:rsid w:val="007E33A6"/>
    <w:rsid w:val="00847CE0"/>
    <w:rsid w:val="00863850"/>
    <w:rsid w:val="00865FEE"/>
    <w:rsid w:val="008A11F9"/>
    <w:rsid w:val="008B487E"/>
    <w:rsid w:val="00925297"/>
    <w:rsid w:val="00937B22"/>
    <w:rsid w:val="0096418D"/>
    <w:rsid w:val="00976889"/>
    <w:rsid w:val="009902D5"/>
    <w:rsid w:val="009B71E6"/>
    <w:rsid w:val="009C2ABC"/>
    <w:rsid w:val="009E62F9"/>
    <w:rsid w:val="009F2534"/>
    <w:rsid w:val="009F6793"/>
    <w:rsid w:val="00A03AFD"/>
    <w:rsid w:val="00A554A5"/>
    <w:rsid w:val="00AC21A7"/>
    <w:rsid w:val="00AC3BF5"/>
    <w:rsid w:val="00AD30B9"/>
    <w:rsid w:val="00AE072E"/>
    <w:rsid w:val="00B063DC"/>
    <w:rsid w:val="00B140A3"/>
    <w:rsid w:val="00B427BB"/>
    <w:rsid w:val="00B4313C"/>
    <w:rsid w:val="00B6270A"/>
    <w:rsid w:val="00BA2CD2"/>
    <w:rsid w:val="00BB3D4F"/>
    <w:rsid w:val="00C27C21"/>
    <w:rsid w:val="00C32B90"/>
    <w:rsid w:val="00C71FDB"/>
    <w:rsid w:val="00C900A3"/>
    <w:rsid w:val="00C909DD"/>
    <w:rsid w:val="00C91DCD"/>
    <w:rsid w:val="00CB0546"/>
    <w:rsid w:val="00D27A37"/>
    <w:rsid w:val="00D66F3D"/>
    <w:rsid w:val="00DA5B23"/>
    <w:rsid w:val="00DB58C4"/>
    <w:rsid w:val="00DC4135"/>
    <w:rsid w:val="00DF0FD4"/>
    <w:rsid w:val="00DF55B0"/>
    <w:rsid w:val="00E47C43"/>
    <w:rsid w:val="00E5543F"/>
    <w:rsid w:val="00E60183"/>
    <w:rsid w:val="00E66B35"/>
    <w:rsid w:val="00E67B9B"/>
    <w:rsid w:val="00EA4DBE"/>
    <w:rsid w:val="00EA7277"/>
    <w:rsid w:val="00EF3888"/>
    <w:rsid w:val="00F04896"/>
    <w:rsid w:val="00F20ABC"/>
    <w:rsid w:val="00F20B82"/>
    <w:rsid w:val="00F55906"/>
    <w:rsid w:val="00F74CA8"/>
    <w:rsid w:val="00F76467"/>
    <w:rsid w:val="00F76CD5"/>
    <w:rsid w:val="00F8704A"/>
    <w:rsid w:val="00F94D73"/>
    <w:rsid w:val="00FA06EB"/>
    <w:rsid w:val="00FC1A95"/>
    <w:rsid w:val="00FD51CA"/>
    <w:rsid w:val="24FE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8"/>
    <w:autoRedefine/>
    <w:unhideWhenUsed/>
    <w:qFormat/>
    <w:uiPriority w:val="9"/>
    <w:pPr>
      <w:keepNext/>
      <w:keepLines/>
      <w:spacing w:before="156" w:beforeLines="50" w:after="156" w:afterLines="50" w:line="360" w:lineRule="exact"/>
      <w:outlineLvl w:val="1"/>
    </w:pPr>
    <w:rPr>
      <w:rFonts w:eastAsia="仿宋" w:asciiTheme="majorHAnsi" w:hAnsiTheme="majorHAnsi" w:cstheme="majorBidi"/>
      <w:b/>
      <w:bCs/>
      <w:sz w:val="30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字符"/>
    <w:basedOn w:val="7"/>
    <w:link w:val="2"/>
    <w:qFormat/>
    <w:uiPriority w:val="9"/>
    <w:rPr>
      <w:rFonts w:eastAsia="仿宋" w:asciiTheme="majorHAnsi" w:hAnsiTheme="majorHAnsi" w:cstheme="majorBidi"/>
      <w:b/>
      <w:bCs/>
      <w:sz w:val="30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1215</Words>
  <Characters>1228</Characters>
  <Lines>9</Lines>
  <Paragraphs>2</Paragraphs>
  <TotalTime>502</TotalTime>
  <ScaleCrop>false</ScaleCrop>
  <LinksUpToDate>false</LinksUpToDate>
  <CharactersWithSpaces>1228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2025-03-14T03:32:00Z</dcterms:created>
  <dc:creator>YMY</dc:creator>
  <cp:lastModifiedBy>尹美尧</cp:lastModifiedBy>
  <dcterms:modified xsi:type="dcterms:W3CDTF">2026-03-10T03:17:48Z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eyJoZGlkIjoiZjFjNTc3NDEwNjQ3NmFhZmJhNzFkZWY4OWEyM2ZiNjciLCJ1c2VySWQiOiIxNjU5NzUzNjgyIn0=</vt:lpwstr>
  </property>
  <property fmtid="{D5CDD505-2E9C-101B-9397-08002B2CF9AE}" pid="3" name="KSOProductBuildVer">
    <vt:lpwstr>2052-12.1.0.23542</vt:lpwstr>
  </property>
  <property fmtid="{D5CDD505-2E9C-101B-9397-08002B2CF9AE}" pid="4" name="ICV">
    <vt:lpwstr>ADA920F4E1FF45058097AFDCA934AD6F_12</vt:lpwstr>
  </property>
</Properties>
</file>