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1A" w:rsidRDefault="00F3631A" w:rsidP="00F3631A">
      <w:pPr>
        <w:pStyle w:val="p0"/>
        <w:spacing w:line="560" w:lineRule="exact"/>
        <w:jc w:val="left"/>
        <w:rPr>
          <w:rFonts w:ascii="仿宋_GB2312" w:eastAsia="仿宋_GB2312"/>
          <w:b/>
          <w:sz w:val="32"/>
          <w:szCs w:val="32"/>
        </w:rPr>
      </w:pPr>
      <w:r w:rsidRPr="00CB4B3B">
        <w:rPr>
          <w:rFonts w:ascii="仿宋_GB2312" w:eastAsia="仿宋_GB2312" w:hint="eastAsia"/>
          <w:b/>
          <w:sz w:val="32"/>
          <w:szCs w:val="32"/>
        </w:rPr>
        <w:t>附件</w:t>
      </w:r>
      <w:r w:rsidR="00DF5E02">
        <w:rPr>
          <w:rFonts w:ascii="仿宋_GB2312" w:eastAsia="仿宋_GB2312" w:hint="eastAsia"/>
          <w:b/>
          <w:sz w:val="32"/>
          <w:szCs w:val="32"/>
        </w:rPr>
        <w:t>1</w:t>
      </w:r>
      <w:r w:rsidRPr="00CB4B3B">
        <w:rPr>
          <w:rFonts w:ascii="仿宋_GB2312" w:eastAsia="仿宋_GB2312" w:hint="eastAsia"/>
          <w:b/>
          <w:sz w:val="32"/>
          <w:szCs w:val="32"/>
        </w:rPr>
        <w:t>：</w:t>
      </w:r>
    </w:p>
    <w:p w:rsidR="00F3631A" w:rsidRPr="009F0C42" w:rsidRDefault="00F3631A" w:rsidP="00F3631A">
      <w:pPr>
        <w:pStyle w:val="p0"/>
        <w:spacing w:after="240" w:line="560" w:lineRule="exact"/>
        <w:jc w:val="center"/>
        <w:rPr>
          <w:rFonts w:ascii="仿宋_GB2312" w:eastAsia="仿宋_GB2312"/>
          <w:b/>
          <w:sz w:val="32"/>
          <w:szCs w:val="30"/>
        </w:rPr>
      </w:pPr>
      <w:r w:rsidRPr="00FE44FE">
        <w:rPr>
          <w:rFonts w:ascii="仿宋_GB2312" w:eastAsia="仿宋_GB2312" w:hint="eastAsia"/>
          <w:b/>
          <w:sz w:val="32"/>
          <w:szCs w:val="30"/>
        </w:rPr>
        <w:t>2014年</w:t>
      </w:r>
      <w:r>
        <w:rPr>
          <w:rFonts w:ascii="仿宋_GB2312" w:eastAsia="仿宋_GB2312" w:hint="eastAsia"/>
          <w:b/>
          <w:sz w:val="32"/>
          <w:szCs w:val="30"/>
        </w:rPr>
        <w:t>校企</w:t>
      </w:r>
      <w:r w:rsidRPr="00FE44FE">
        <w:rPr>
          <w:rFonts w:ascii="仿宋_GB2312" w:eastAsia="仿宋_GB2312" w:hint="eastAsia"/>
          <w:b/>
          <w:sz w:val="32"/>
          <w:szCs w:val="30"/>
        </w:rPr>
        <w:t>合作专业综合改革项目</w:t>
      </w:r>
      <w:r w:rsidR="00DF5E02">
        <w:rPr>
          <w:rFonts w:ascii="仿宋_GB2312" w:eastAsia="仿宋_GB2312" w:hint="eastAsia"/>
          <w:b/>
          <w:sz w:val="32"/>
          <w:szCs w:val="30"/>
        </w:rPr>
        <w:t>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134"/>
        <w:gridCol w:w="1134"/>
        <w:gridCol w:w="1701"/>
        <w:gridCol w:w="3402"/>
        <w:gridCol w:w="2694"/>
      </w:tblGrid>
      <w:tr w:rsidR="00F3631A" w:rsidRPr="00F3631A" w:rsidTr="00DF5E02">
        <w:trPr>
          <w:cantSplit/>
          <w:trHeight w:val="20"/>
          <w:jc w:val="center"/>
        </w:trPr>
        <w:tc>
          <w:tcPr>
            <w:tcW w:w="708" w:type="dxa"/>
            <w:shd w:val="clear" w:color="auto" w:fill="auto"/>
          </w:tcPr>
          <w:p w:rsidR="00F3631A" w:rsidRPr="00F3631A" w:rsidRDefault="00F3631A" w:rsidP="00F3631A">
            <w:pPr>
              <w:pStyle w:val="p0"/>
              <w:adjustRightInd w:val="0"/>
              <w:snapToGrid w:val="0"/>
              <w:jc w:val="center"/>
              <w:rPr>
                <w:rFonts w:ascii="仿宋_GB2312" w:eastAsia="仿宋_GB2312"/>
              </w:rPr>
            </w:pPr>
            <w:r w:rsidRPr="00F3631A">
              <w:rPr>
                <w:rFonts w:ascii="仿宋_GB2312" w:eastAsia="仿宋_GB2312" w:hint="eastAsia"/>
              </w:rPr>
              <w:t>公司</w:t>
            </w:r>
          </w:p>
        </w:tc>
        <w:tc>
          <w:tcPr>
            <w:tcW w:w="1134" w:type="dxa"/>
            <w:shd w:val="clear" w:color="auto" w:fill="auto"/>
          </w:tcPr>
          <w:p w:rsidR="00F3631A" w:rsidRPr="00F3631A" w:rsidRDefault="00F3631A" w:rsidP="00F3631A">
            <w:pPr>
              <w:pStyle w:val="p0"/>
              <w:adjustRightInd w:val="0"/>
              <w:snapToGrid w:val="0"/>
              <w:jc w:val="center"/>
              <w:rPr>
                <w:rFonts w:ascii="仿宋_GB2312" w:eastAsia="仿宋_GB2312"/>
              </w:rPr>
            </w:pPr>
            <w:r w:rsidRPr="00F3631A">
              <w:rPr>
                <w:rFonts w:ascii="仿宋_GB2312" w:eastAsia="仿宋_GB2312" w:hint="eastAsia"/>
              </w:rPr>
              <w:t>项目类型</w:t>
            </w:r>
          </w:p>
        </w:tc>
        <w:tc>
          <w:tcPr>
            <w:tcW w:w="1134" w:type="dxa"/>
          </w:tcPr>
          <w:p w:rsidR="00F3631A" w:rsidRPr="00F3631A" w:rsidRDefault="00F3631A" w:rsidP="00F3631A">
            <w:pPr>
              <w:pStyle w:val="p0"/>
              <w:adjustRightInd w:val="0"/>
              <w:snapToGrid w:val="0"/>
              <w:jc w:val="center"/>
              <w:rPr>
                <w:rFonts w:ascii="仿宋_GB2312" w:eastAsia="仿宋_GB2312"/>
              </w:rPr>
            </w:pPr>
            <w:r w:rsidRPr="00F3631A">
              <w:rPr>
                <w:rFonts w:ascii="仿宋_GB2312" w:eastAsia="仿宋_GB2312" w:hint="eastAsia"/>
              </w:rPr>
              <w:t>资助项数</w:t>
            </w:r>
          </w:p>
        </w:tc>
        <w:tc>
          <w:tcPr>
            <w:tcW w:w="1701" w:type="dxa"/>
          </w:tcPr>
          <w:p w:rsidR="00F3631A" w:rsidRPr="00F3631A" w:rsidRDefault="00F3631A" w:rsidP="00F3631A">
            <w:pPr>
              <w:pStyle w:val="p0"/>
              <w:adjustRightInd w:val="0"/>
              <w:snapToGrid w:val="0"/>
              <w:jc w:val="center"/>
              <w:rPr>
                <w:rFonts w:ascii="仿宋_GB2312" w:eastAsia="仿宋_GB2312"/>
              </w:rPr>
            </w:pPr>
            <w:r w:rsidRPr="00F3631A">
              <w:rPr>
                <w:rFonts w:ascii="仿宋_GB2312" w:eastAsia="仿宋_GB2312" w:hint="eastAsia"/>
              </w:rPr>
              <w:t>资助额度</w:t>
            </w:r>
          </w:p>
        </w:tc>
        <w:tc>
          <w:tcPr>
            <w:tcW w:w="3402" w:type="dxa"/>
          </w:tcPr>
          <w:p w:rsidR="00F3631A" w:rsidRPr="00F3631A" w:rsidRDefault="00F3631A" w:rsidP="00F3631A">
            <w:pPr>
              <w:pStyle w:val="p0"/>
              <w:adjustRightInd w:val="0"/>
              <w:snapToGrid w:val="0"/>
              <w:jc w:val="center"/>
              <w:rPr>
                <w:rFonts w:ascii="仿宋_GB2312" w:eastAsia="仿宋_GB2312"/>
              </w:rPr>
            </w:pPr>
            <w:r w:rsidRPr="00F3631A">
              <w:rPr>
                <w:rFonts w:ascii="仿宋_GB2312" w:eastAsia="仿宋_GB2312" w:hint="eastAsia"/>
              </w:rPr>
              <w:t>项目描述</w:t>
            </w:r>
          </w:p>
        </w:tc>
        <w:tc>
          <w:tcPr>
            <w:tcW w:w="2694" w:type="dxa"/>
            <w:shd w:val="clear" w:color="auto" w:fill="auto"/>
          </w:tcPr>
          <w:p w:rsidR="00F3631A" w:rsidRPr="00F3631A" w:rsidRDefault="00F3631A" w:rsidP="00F3631A">
            <w:pPr>
              <w:pStyle w:val="p0"/>
              <w:adjustRightInd w:val="0"/>
              <w:snapToGrid w:val="0"/>
              <w:jc w:val="center"/>
              <w:rPr>
                <w:rFonts w:ascii="仿宋_GB2312" w:eastAsia="仿宋_GB2312"/>
              </w:rPr>
            </w:pPr>
            <w:r w:rsidRPr="00F3631A">
              <w:rPr>
                <w:rFonts w:ascii="仿宋_GB2312" w:eastAsia="仿宋_GB2312" w:hint="eastAsia"/>
              </w:rPr>
              <w:t>项目申报指南网址</w:t>
            </w:r>
          </w:p>
        </w:tc>
      </w:tr>
      <w:tr w:rsidR="00F3631A" w:rsidRPr="00F3631A" w:rsidTr="00DF5E02">
        <w:trPr>
          <w:cantSplit/>
          <w:trHeight w:val="20"/>
          <w:jc w:val="center"/>
        </w:trPr>
        <w:tc>
          <w:tcPr>
            <w:tcW w:w="708" w:type="dxa"/>
            <w:vMerge w:val="restart"/>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百度</w:t>
            </w:r>
          </w:p>
        </w:tc>
        <w:tc>
          <w:tcPr>
            <w:tcW w:w="1134" w:type="dxa"/>
            <w:shd w:val="clear" w:color="auto" w:fill="auto"/>
            <w:vAlign w:val="center"/>
          </w:tcPr>
          <w:p w:rsidR="00F3631A" w:rsidRPr="00F3631A" w:rsidRDefault="00F3631A" w:rsidP="00F3631A">
            <w:pPr>
              <w:widowControl/>
              <w:adjustRightInd w:val="0"/>
              <w:snapToGrid w:val="0"/>
              <w:rPr>
                <w:rFonts w:ascii="仿宋_GB2312" w:eastAsia="仿宋_GB2312"/>
                <w:kern w:val="0"/>
                <w:szCs w:val="21"/>
              </w:rPr>
            </w:pPr>
            <w:r w:rsidRPr="00F3631A">
              <w:rPr>
                <w:rFonts w:ascii="仿宋_GB2312" w:eastAsia="仿宋_GB2312" w:hint="eastAsia"/>
                <w:kern w:val="0"/>
                <w:szCs w:val="21"/>
              </w:rPr>
              <w:t>课程建设项目</w:t>
            </w:r>
          </w:p>
        </w:tc>
        <w:tc>
          <w:tcPr>
            <w:tcW w:w="1134" w:type="dxa"/>
            <w:vMerge w:val="restart"/>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60项(含重点项目20项，一般项目40项)</w:t>
            </w:r>
          </w:p>
        </w:tc>
        <w:tc>
          <w:tcPr>
            <w:tcW w:w="1701" w:type="dxa"/>
            <w:vMerge w:val="restart"/>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重点项目1.0万/项，一般项目0.5万/项</w:t>
            </w:r>
          </w:p>
        </w:tc>
        <w:tc>
          <w:tcPr>
            <w:tcW w:w="3402" w:type="dxa"/>
            <w:vMerge w:val="restart"/>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项目面向从事文科类专业计算机教学的高校教师，以</w:t>
            </w:r>
            <w:r w:rsidRPr="00F3631A">
              <w:rPr>
                <w:rFonts w:ascii="仿宋_GB2312" w:eastAsia="仿宋_GB2312" w:hAnsi="仿宋" w:hint="eastAsia"/>
                <w:snapToGrid w:val="0"/>
              </w:rPr>
              <w:t>科学规划高校文科类专业计算机课程的知识结构与课程体系为目标，</w:t>
            </w:r>
            <w:r w:rsidRPr="00F3631A">
              <w:rPr>
                <w:rFonts w:ascii="仿宋_GB2312" w:eastAsia="仿宋_GB2312" w:hint="eastAsia"/>
              </w:rPr>
              <w:t>开展文科类专业计算机课程建设与教学改革研究。负责人原则上要求具有副教授以上职称，讲师作为负责人申请则要求具有博士学位或从事计算机基础教学工作5年以上。</w:t>
            </w:r>
          </w:p>
        </w:tc>
        <w:tc>
          <w:tcPr>
            <w:tcW w:w="2694" w:type="dxa"/>
            <w:vMerge w:val="restart"/>
            <w:shd w:val="clear" w:color="auto" w:fill="auto"/>
            <w:vAlign w:val="center"/>
          </w:tcPr>
          <w:p w:rsidR="00F3631A" w:rsidRPr="00F3631A" w:rsidRDefault="00F928E9" w:rsidP="00F3631A">
            <w:pPr>
              <w:pStyle w:val="p0"/>
              <w:adjustRightInd w:val="0"/>
              <w:snapToGrid w:val="0"/>
              <w:rPr>
                <w:rFonts w:ascii="仿宋_GB2312" w:eastAsia="仿宋_GB2312"/>
              </w:rPr>
            </w:pPr>
            <w:hyperlink r:id="rId6" w:history="1">
              <w:r w:rsidR="00F3631A" w:rsidRPr="00DF5E02">
                <w:rPr>
                  <w:rStyle w:val="a5"/>
                  <w:rFonts w:ascii="仿宋_GB2312" w:eastAsia="仿宋_GB2312" w:hint="eastAsia"/>
                </w:rPr>
                <w:t>http://openresearch.baidu.com/activityindex.jhtml?channelId=816</w:t>
              </w:r>
            </w:hyperlink>
          </w:p>
        </w:tc>
      </w:tr>
      <w:tr w:rsidR="00F3631A" w:rsidRPr="00F3631A" w:rsidTr="00DF5E02">
        <w:trPr>
          <w:cantSplit/>
          <w:trHeight w:val="20"/>
          <w:jc w:val="center"/>
        </w:trPr>
        <w:tc>
          <w:tcPr>
            <w:tcW w:w="708"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c>
          <w:tcPr>
            <w:tcW w:w="1134" w:type="dxa"/>
            <w:shd w:val="clear" w:color="auto" w:fill="auto"/>
            <w:vAlign w:val="center"/>
          </w:tcPr>
          <w:p w:rsidR="00F3631A" w:rsidRPr="00F3631A" w:rsidRDefault="00F3631A" w:rsidP="00F3631A">
            <w:pPr>
              <w:widowControl/>
              <w:adjustRightInd w:val="0"/>
              <w:snapToGrid w:val="0"/>
              <w:rPr>
                <w:rFonts w:ascii="仿宋_GB2312" w:eastAsia="仿宋_GB2312"/>
                <w:kern w:val="0"/>
                <w:szCs w:val="21"/>
              </w:rPr>
            </w:pPr>
            <w:r w:rsidRPr="00F3631A">
              <w:rPr>
                <w:rFonts w:ascii="仿宋_GB2312" w:eastAsia="仿宋_GB2312" w:hint="eastAsia"/>
                <w:kern w:val="0"/>
                <w:szCs w:val="21"/>
              </w:rPr>
              <w:t>教学改革项目</w:t>
            </w:r>
          </w:p>
        </w:tc>
        <w:tc>
          <w:tcPr>
            <w:tcW w:w="1134" w:type="dxa"/>
            <w:vMerge/>
            <w:vAlign w:val="center"/>
          </w:tcPr>
          <w:p w:rsidR="00F3631A" w:rsidRPr="00F3631A" w:rsidRDefault="00F3631A" w:rsidP="00F3631A">
            <w:pPr>
              <w:pStyle w:val="p0"/>
              <w:adjustRightInd w:val="0"/>
              <w:snapToGrid w:val="0"/>
              <w:rPr>
                <w:rFonts w:ascii="仿宋_GB2312" w:eastAsia="仿宋_GB2312"/>
              </w:rPr>
            </w:pPr>
          </w:p>
        </w:tc>
        <w:tc>
          <w:tcPr>
            <w:tcW w:w="1701" w:type="dxa"/>
            <w:vMerge/>
            <w:vAlign w:val="center"/>
          </w:tcPr>
          <w:p w:rsidR="00F3631A" w:rsidRPr="00F3631A" w:rsidRDefault="00F3631A" w:rsidP="00F3631A">
            <w:pPr>
              <w:pStyle w:val="p0"/>
              <w:adjustRightInd w:val="0"/>
              <w:snapToGrid w:val="0"/>
              <w:rPr>
                <w:rFonts w:ascii="仿宋_GB2312" w:eastAsia="仿宋_GB2312"/>
              </w:rPr>
            </w:pPr>
          </w:p>
        </w:tc>
        <w:tc>
          <w:tcPr>
            <w:tcW w:w="3402" w:type="dxa"/>
            <w:vMerge/>
            <w:vAlign w:val="center"/>
          </w:tcPr>
          <w:p w:rsidR="00F3631A" w:rsidRPr="00F3631A" w:rsidRDefault="00F3631A" w:rsidP="00F3631A">
            <w:pPr>
              <w:pStyle w:val="p0"/>
              <w:adjustRightInd w:val="0"/>
              <w:snapToGrid w:val="0"/>
              <w:rPr>
                <w:rFonts w:ascii="仿宋_GB2312" w:eastAsia="仿宋_GB2312"/>
              </w:rPr>
            </w:pPr>
          </w:p>
        </w:tc>
        <w:tc>
          <w:tcPr>
            <w:tcW w:w="2694"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r>
      <w:tr w:rsidR="00F3631A" w:rsidRPr="00F3631A" w:rsidTr="00DF5E02">
        <w:trPr>
          <w:cantSplit/>
          <w:trHeight w:val="20"/>
          <w:jc w:val="center"/>
        </w:trPr>
        <w:tc>
          <w:tcPr>
            <w:tcW w:w="708" w:type="dxa"/>
            <w:vMerge w:val="restart"/>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谷歌</w:t>
            </w:r>
          </w:p>
        </w:tc>
        <w:tc>
          <w:tcPr>
            <w:tcW w:w="1134" w:type="dxa"/>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人才培养课程建设项目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15项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4万/项</w:t>
            </w:r>
          </w:p>
        </w:tc>
        <w:tc>
          <w:tcPr>
            <w:tcW w:w="3402"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Ansi="Arial" w:hint="eastAsia"/>
              </w:rPr>
              <w:t>项目面向高校计算机类和电子信息类等相关专业教师，重点支持基于开源技术的移动应用开发方向的课程建设，涵盖智能终端应用开发、移动操作系统底层系统软件开发、移动互联应用、物联网应用等多个方向。</w:t>
            </w:r>
          </w:p>
        </w:tc>
        <w:tc>
          <w:tcPr>
            <w:tcW w:w="2694" w:type="dxa"/>
            <w:vMerge w:val="restart"/>
            <w:shd w:val="clear" w:color="auto" w:fill="auto"/>
            <w:vAlign w:val="center"/>
          </w:tcPr>
          <w:p w:rsidR="00F3631A" w:rsidRPr="00F3631A" w:rsidRDefault="00F928E9" w:rsidP="00F3631A">
            <w:pPr>
              <w:pStyle w:val="p0"/>
              <w:adjustRightInd w:val="0"/>
              <w:snapToGrid w:val="0"/>
              <w:rPr>
                <w:rFonts w:ascii="仿宋_GB2312" w:eastAsia="仿宋_GB2312"/>
              </w:rPr>
            </w:pPr>
            <w:hyperlink r:id="rId7" w:history="1">
              <w:r w:rsidR="00F3631A" w:rsidRPr="00DF5E02">
                <w:rPr>
                  <w:rStyle w:val="a5"/>
                  <w:rFonts w:ascii="仿宋_GB2312" w:eastAsia="仿宋_GB2312" w:hint="eastAsia"/>
                </w:rPr>
                <w:t>http://www.google.cn/university/curriculum/collaboration.html</w:t>
              </w:r>
            </w:hyperlink>
          </w:p>
        </w:tc>
      </w:tr>
      <w:tr w:rsidR="00F3631A" w:rsidRPr="00F3631A" w:rsidTr="00DF5E02">
        <w:trPr>
          <w:cantSplit/>
          <w:trHeight w:val="20"/>
          <w:jc w:val="center"/>
        </w:trPr>
        <w:tc>
          <w:tcPr>
            <w:tcW w:w="708"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c>
          <w:tcPr>
            <w:tcW w:w="1134" w:type="dxa"/>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大学生创新训练项目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20项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1万/项</w:t>
            </w:r>
          </w:p>
        </w:tc>
        <w:tc>
          <w:tcPr>
            <w:tcW w:w="3402"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Ansi="Arial" w:hint="eastAsia"/>
              </w:rPr>
              <w:t>项目面向高校计算机类和电子信息类等相关专业的学生个人或团队。按照教育部大学生创新创业训练计划要求，重点资助移动应用的安全机制研究、物联网典型应用、云计算与大数据分析等方向。</w:t>
            </w:r>
          </w:p>
        </w:tc>
        <w:tc>
          <w:tcPr>
            <w:tcW w:w="2694"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r>
      <w:tr w:rsidR="00F3631A" w:rsidRPr="00F3631A" w:rsidTr="00DF5E02">
        <w:trPr>
          <w:cantSplit/>
          <w:trHeight w:val="20"/>
          <w:jc w:val="center"/>
        </w:trPr>
        <w:tc>
          <w:tcPr>
            <w:tcW w:w="708" w:type="dxa"/>
            <w:vMerge w:val="restart"/>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英特尔</w:t>
            </w:r>
          </w:p>
        </w:tc>
        <w:tc>
          <w:tcPr>
            <w:tcW w:w="1134" w:type="dxa"/>
            <w:shd w:val="clear" w:color="auto" w:fill="auto"/>
            <w:vAlign w:val="center"/>
          </w:tcPr>
          <w:p w:rsidR="00F3631A" w:rsidRPr="00F3631A" w:rsidRDefault="00F3631A" w:rsidP="00F3631A">
            <w:pPr>
              <w:widowControl/>
              <w:adjustRightInd w:val="0"/>
              <w:snapToGrid w:val="0"/>
              <w:jc w:val="left"/>
              <w:rPr>
                <w:rFonts w:ascii="仿宋_GB2312" w:eastAsia="仿宋_GB2312"/>
                <w:kern w:val="0"/>
                <w:szCs w:val="21"/>
              </w:rPr>
            </w:pPr>
            <w:r w:rsidRPr="00F3631A">
              <w:rPr>
                <w:rFonts w:ascii="仿宋_GB2312" w:eastAsia="仿宋_GB2312" w:hint="eastAsia"/>
                <w:kern w:val="0"/>
                <w:szCs w:val="21"/>
              </w:rPr>
              <w:t>专业课程建设项目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6项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5万/项</w:t>
            </w:r>
          </w:p>
        </w:tc>
        <w:tc>
          <w:tcPr>
            <w:tcW w:w="3402" w:type="dxa"/>
            <w:vAlign w:val="center"/>
          </w:tcPr>
          <w:p w:rsidR="00F3631A" w:rsidRPr="00F3631A" w:rsidRDefault="00F3631A" w:rsidP="00F3631A">
            <w:pPr>
              <w:adjustRightInd w:val="0"/>
              <w:snapToGrid w:val="0"/>
              <w:rPr>
                <w:rFonts w:ascii="仿宋_GB2312" w:eastAsia="仿宋_GB2312"/>
                <w:szCs w:val="21"/>
              </w:rPr>
            </w:pPr>
            <w:r w:rsidRPr="00F3631A">
              <w:rPr>
                <w:rFonts w:ascii="仿宋_GB2312" w:eastAsia="仿宋_GB2312" w:hAnsi="Arial" w:hint="eastAsia"/>
                <w:szCs w:val="21"/>
              </w:rPr>
              <w:t>项目面向高校计算机类和电子信息类等相关专业教师，</w:t>
            </w:r>
            <w:r w:rsidRPr="00F3631A">
              <w:rPr>
                <w:rFonts w:ascii="仿宋_GB2312" w:eastAsia="仿宋_GB2312" w:hint="eastAsia"/>
                <w:szCs w:val="21"/>
              </w:rPr>
              <w:t>重点支持计算机、软件和物联网相关专业课程的建设。申报课程授课对象必须以本科生为主，课程不少于32学时。</w:t>
            </w:r>
          </w:p>
        </w:tc>
        <w:tc>
          <w:tcPr>
            <w:tcW w:w="2694" w:type="dxa"/>
            <w:vMerge w:val="restart"/>
            <w:shd w:val="clear" w:color="auto" w:fill="auto"/>
            <w:vAlign w:val="center"/>
          </w:tcPr>
          <w:p w:rsidR="00F3631A" w:rsidRPr="00F3631A" w:rsidRDefault="00F928E9" w:rsidP="00F3631A">
            <w:pPr>
              <w:pStyle w:val="p0"/>
              <w:adjustRightInd w:val="0"/>
              <w:snapToGrid w:val="0"/>
              <w:rPr>
                <w:rFonts w:ascii="仿宋_GB2312" w:eastAsia="仿宋_GB2312"/>
              </w:rPr>
            </w:pPr>
            <w:hyperlink r:id="rId8" w:history="1">
              <w:r w:rsidR="00F3631A" w:rsidRPr="00DF5E02">
                <w:rPr>
                  <w:rStyle w:val="a5"/>
                  <w:rFonts w:ascii="仿宋_GB2312" w:eastAsia="仿宋_GB2312"/>
                </w:rPr>
                <w:t>http://www.intel.cn/edu/curriculum</w:t>
              </w:r>
            </w:hyperlink>
          </w:p>
        </w:tc>
      </w:tr>
      <w:tr w:rsidR="00F3631A" w:rsidRPr="00F3631A" w:rsidTr="00DF5E02">
        <w:trPr>
          <w:cantSplit/>
          <w:trHeight w:val="20"/>
          <w:jc w:val="center"/>
        </w:trPr>
        <w:tc>
          <w:tcPr>
            <w:tcW w:w="708"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c>
          <w:tcPr>
            <w:tcW w:w="1134" w:type="dxa"/>
            <w:shd w:val="clear" w:color="auto" w:fill="auto"/>
            <w:vAlign w:val="center"/>
          </w:tcPr>
          <w:p w:rsidR="00F3631A" w:rsidRPr="00F3631A" w:rsidRDefault="00F3631A" w:rsidP="00F3631A">
            <w:pPr>
              <w:widowControl/>
              <w:adjustRightInd w:val="0"/>
              <w:snapToGrid w:val="0"/>
              <w:jc w:val="left"/>
              <w:rPr>
                <w:rFonts w:ascii="仿宋_GB2312" w:eastAsia="仿宋_GB2312"/>
                <w:kern w:val="0"/>
                <w:szCs w:val="21"/>
              </w:rPr>
            </w:pPr>
            <w:r w:rsidRPr="00F3631A">
              <w:rPr>
                <w:rFonts w:ascii="仿宋_GB2312" w:eastAsia="仿宋_GB2312" w:hint="eastAsia"/>
                <w:kern w:val="0"/>
                <w:szCs w:val="21"/>
              </w:rPr>
              <w:t>专业综合改革项目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2项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10万/项</w:t>
            </w:r>
          </w:p>
        </w:tc>
        <w:tc>
          <w:tcPr>
            <w:tcW w:w="3402" w:type="dxa"/>
            <w:vAlign w:val="center"/>
          </w:tcPr>
          <w:p w:rsidR="00F3631A" w:rsidRPr="00F3631A" w:rsidRDefault="00F3631A" w:rsidP="00F3631A">
            <w:pPr>
              <w:adjustRightInd w:val="0"/>
              <w:snapToGrid w:val="0"/>
              <w:rPr>
                <w:rFonts w:ascii="仿宋_GB2312" w:eastAsia="仿宋_GB2312"/>
                <w:szCs w:val="21"/>
              </w:rPr>
            </w:pPr>
            <w:r w:rsidRPr="00F3631A">
              <w:rPr>
                <w:rFonts w:ascii="仿宋_GB2312" w:eastAsia="仿宋_GB2312" w:hAnsi="Arial" w:hint="eastAsia"/>
                <w:szCs w:val="21"/>
              </w:rPr>
              <w:t>项目面向高校计算机类和电子信息类等相关专业教师，</w:t>
            </w:r>
            <w:r w:rsidRPr="00F3631A">
              <w:rPr>
                <w:rFonts w:ascii="仿宋_GB2312" w:eastAsia="仿宋_GB2312" w:hint="eastAsia"/>
                <w:szCs w:val="21"/>
              </w:rPr>
              <w:t>要求申请人学校或学院设有“卓越工程师教育培养计划”或“基础学科拔尖学生培养试验计划”实验班。重点支持具有高校或区域特色的培养模式改革项目。</w:t>
            </w:r>
          </w:p>
        </w:tc>
        <w:tc>
          <w:tcPr>
            <w:tcW w:w="2694"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r>
      <w:tr w:rsidR="00F3631A" w:rsidRPr="00F3631A" w:rsidTr="00DF5E02">
        <w:trPr>
          <w:cantSplit/>
          <w:trHeight w:val="20"/>
          <w:jc w:val="center"/>
        </w:trPr>
        <w:tc>
          <w:tcPr>
            <w:tcW w:w="708" w:type="dxa"/>
            <w:vMerge w:val="restart"/>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IBM</w:t>
            </w:r>
            <w:r w:rsidRPr="00F3631A">
              <w:rPr>
                <w:rFonts w:ascii="仿宋_GB2312" w:eastAsia="仿宋_GB2312"/>
              </w:rPr>
              <w:t xml:space="preserve"> </w:t>
            </w:r>
          </w:p>
        </w:tc>
        <w:tc>
          <w:tcPr>
            <w:tcW w:w="1134" w:type="dxa"/>
            <w:shd w:val="clear" w:color="auto" w:fill="auto"/>
            <w:vAlign w:val="center"/>
          </w:tcPr>
          <w:p w:rsidR="00F3631A" w:rsidRPr="00F3631A" w:rsidRDefault="00F3631A" w:rsidP="00F3631A">
            <w:pPr>
              <w:widowControl/>
              <w:adjustRightInd w:val="0"/>
              <w:snapToGrid w:val="0"/>
              <w:jc w:val="left"/>
              <w:rPr>
                <w:rFonts w:ascii="仿宋_GB2312" w:eastAsia="仿宋_GB2312"/>
                <w:kern w:val="0"/>
                <w:szCs w:val="21"/>
              </w:rPr>
            </w:pPr>
            <w:r w:rsidRPr="00F3631A">
              <w:rPr>
                <w:rFonts w:ascii="仿宋_GB2312" w:eastAsia="仿宋_GB2312" w:hint="eastAsia"/>
                <w:kern w:val="0"/>
                <w:szCs w:val="21"/>
              </w:rPr>
              <w:t>大数据及分析技术中心项目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40项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软件配套支持</w:t>
            </w:r>
          </w:p>
        </w:tc>
        <w:tc>
          <w:tcPr>
            <w:tcW w:w="3402"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项目面向全国各高等学校。高校可基于该项目免费获取大数据及分析相关配套软件，与企业合作建立大数据及分析技术中心。申报高校可基于该大数据及分析技术中心与企业开展产学合作项目研究。</w:t>
            </w:r>
          </w:p>
        </w:tc>
        <w:tc>
          <w:tcPr>
            <w:tcW w:w="2694" w:type="dxa"/>
            <w:vMerge w:val="restart"/>
            <w:shd w:val="clear" w:color="auto" w:fill="auto"/>
            <w:vAlign w:val="center"/>
          </w:tcPr>
          <w:p w:rsidR="00F3631A" w:rsidRPr="00F3631A" w:rsidRDefault="00F928E9" w:rsidP="00F3631A">
            <w:pPr>
              <w:pStyle w:val="p0"/>
              <w:adjustRightInd w:val="0"/>
              <w:snapToGrid w:val="0"/>
              <w:rPr>
                <w:rFonts w:ascii="仿宋_GB2312" w:eastAsia="仿宋_GB2312"/>
              </w:rPr>
            </w:pPr>
            <w:hyperlink r:id="rId9" w:history="1">
              <w:r w:rsidR="00F3631A" w:rsidRPr="00DF5E02">
                <w:rPr>
                  <w:rStyle w:val="a5"/>
                  <w:rFonts w:ascii="仿宋_GB2312" w:eastAsia="仿宋_GB2312"/>
                </w:rPr>
                <w:t>http://www-31.ibm.com/ibm/cn/university/programs/reform_program.shtml</w:t>
              </w:r>
            </w:hyperlink>
          </w:p>
        </w:tc>
      </w:tr>
      <w:tr w:rsidR="00F3631A" w:rsidRPr="00F3631A" w:rsidTr="00DF5E02">
        <w:trPr>
          <w:cantSplit/>
          <w:trHeight w:val="20"/>
          <w:jc w:val="center"/>
        </w:trPr>
        <w:tc>
          <w:tcPr>
            <w:tcW w:w="708"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c>
          <w:tcPr>
            <w:tcW w:w="1134" w:type="dxa"/>
            <w:shd w:val="clear" w:color="auto" w:fill="auto"/>
            <w:vAlign w:val="center"/>
          </w:tcPr>
          <w:p w:rsidR="00F3631A" w:rsidRPr="00F3631A" w:rsidRDefault="00F3631A" w:rsidP="00F3631A">
            <w:pPr>
              <w:widowControl/>
              <w:adjustRightInd w:val="0"/>
              <w:snapToGrid w:val="0"/>
              <w:jc w:val="left"/>
              <w:rPr>
                <w:rFonts w:ascii="仿宋_GB2312" w:eastAsia="仿宋_GB2312"/>
                <w:kern w:val="0"/>
                <w:szCs w:val="21"/>
              </w:rPr>
            </w:pPr>
            <w:r w:rsidRPr="00F3631A">
              <w:rPr>
                <w:rFonts w:ascii="仿宋_GB2312" w:eastAsia="仿宋_GB2312" w:hint="eastAsia"/>
                <w:kern w:val="0"/>
                <w:szCs w:val="21"/>
              </w:rPr>
              <w:t>专业课程建设项目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30项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4万/项</w:t>
            </w:r>
          </w:p>
        </w:tc>
        <w:tc>
          <w:tcPr>
            <w:tcW w:w="3402" w:type="dxa"/>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Ansi="Arial" w:hint="eastAsia"/>
              </w:rPr>
              <w:t>项目面向高校计算机类和电子信息类等相关专业教师，</w:t>
            </w:r>
            <w:r w:rsidRPr="00F3631A">
              <w:rPr>
                <w:rFonts w:ascii="仿宋_GB2312" w:eastAsia="仿宋_GB2312" w:hint="eastAsia"/>
              </w:rPr>
              <w:t>重点支持大数据分析、云计算、移动计算、企业计算等方向的课程建设项目。申报课程应以现有课程为基础, 课程学时安排应不少于32学时，平均每年开课次数不少于一次，平均每学期选修人数不少于50人。</w:t>
            </w:r>
          </w:p>
        </w:tc>
        <w:tc>
          <w:tcPr>
            <w:tcW w:w="2694"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r>
      <w:tr w:rsidR="00F3631A" w:rsidRPr="00F3631A" w:rsidTr="00DF5E02">
        <w:trPr>
          <w:cantSplit/>
          <w:trHeight w:val="20"/>
          <w:jc w:val="center"/>
        </w:trPr>
        <w:tc>
          <w:tcPr>
            <w:tcW w:w="708" w:type="dxa"/>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微软</w:t>
            </w:r>
          </w:p>
        </w:tc>
        <w:tc>
          <w:tcPr>
            <w:tcW w:w="1134" w:type="dxa"/>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专业综合改革项目</w:t>
            </w:r>
          </w:p>
        </w:tc>
        <w:tc>
          <w:tcPr>
            <w:tcW w:w="1134" w:type="dxa"/>
            <w:vAlign w:val="center"/>
          </w:tcPr>
          <w:p w:rsidR="00F3631A" w:rsidRPr="00F3631A" w:rsidRDefault="00F3631A" w:rsidP="00F3631A">
            <w:pPr>
              <w:widowControl/>
              <w:adjustRightInd w:val="0"/>
              <w:snapToGrid w:val="0"/>
              <w:rPr>
                <w:rFonts w:ascii="仿宋_GB2312" w:eastAsia="仿宋_GB2312"/>
                <w:kern w:val="0"/>
                <w:szCs w:val="21"/>
              </w:rPr>
            </w:pPr>
            <w:r w:rsidRPr="00F3631A">
              <w:rPr>
                <w:rFonts w:ascii="仿宋_GB2312" w:eastAsia="仿宋_GB2312" w:hint="eastAsia"/>
                <w:kern w:val="0"/>
                <w:szCs w:val="21"/>
              </w:rPr>
              <w:t>16项（含一类项目6项，二类项目10项）</w:t>
            </w:r>
          </w:p>
        </w:tc>
        <w:tc>
          <w:tcPr>
            <w:tcW w:w="1701" w:type="dxa"/>
            <w:vAlign w:val="center"/>
          </w:tcPr>
          <w:p w:rsidR="00F3631A" w:rsidRPr="00F3631A" w:rsidRDefault="00F3631A" w:rsidP="00F3631A">
            <w:pPr>
              <w:widowControl/>
              <w:adjustRightInd w:val="0"/>
              <w:snapToGrid w:val="0"/>
              <w:rPr>
                <w:rFonts w:ascii="仿宋_GB2312" w:eastAsia="仿宋_GB2312"/>
                <w:kern w:val="0"/>
                <w:szCs w:val="21"/>
              </w:rPr>
            </w:pPr>
            <w:r w:rsidRPr="00F3631A">
              <w:rPr>
                <w:rFonts w:ascii="仿宋_GB2312" w:eastAsia="仿宋_GB2312" w:hint="eastAsia"/>
                <w:kern w:val="0"/>
                <w:szCs w:val="21"/>
              </w:rPr>
              <w:t>一类项目5万/项，二类项目2-3万</w:t>
            </w:r>
            <w:r w:rsidRPr="00F3631A">
              <w:rPr>
                <w:rFonts w:ascii="仿宋_GB2312" w:eastAsia="仿宋_GB2312" w:hint="eastAsia"/>
                <w:szCs w:val="21"/>
              </w:rPr>
              <w:t>/项</w:t>
            </w:r>
          </w:p>
        </w:tc>
        <w:tc>
          <w:tcPr>
            <w:tcW w:w="3402" w:type="dxa"/>
            <w:vAlign w:val="center"/>
          </w:tcPr>
          <w:p w:rsidR="00F3631A" w:rsidRPr="00F3631A" w:rsidRDefault="00F3631A" w:rsidP="00F3631A">
            <w:pPr>
              <w:adjustRightInd w:val="0"/>
              <w:snapToGrid w:val="0"/>
              <w:rPr>
                <w:rFonts w:ascii="仿宋_GB2312" w:eastAsia="仿宋_GB2312"/>
                <w:szCs w:val="21"/>
              </w:rPr>
            </w:pPr>
            <w:r w:rsidRPr="00F3631A">
              <w:rPr>
                <w:rFonts w:ascii="仿宋_GB2312" w:eastAsia="仿宋_GB2312" w:hAnsi="Arial" w:hint="eastAsia"/>
                <w:szCs w:val="21"/>
              </w:rPr>
              <w:t>项目面向高校计算机类和电子信息类等相关专业教师，</w:t>
            </w:r>
            <w:r w:rsidRPr="00F3631A">
              <w:rPr>
                <w:rFonts w:ascii="仿宋_GB2312" w:eastAsia="仿宋_GB2312" w:hint="eastAsia"/>
                <w:szCs w:val="21"/>
              </w:rPr>
              <w:t>重点支持计算机基础教育课程数字化教学资源的建设与共享、计算机基础教育课程内容与方法的改革与创新、基于网络学习环境的教学模式研究与实践等方向。要求</w:t>
            </w:r>
            <w:r w:rsidRPr="00F3631A">
              <w:rPr>
                <w:rFonts w:ascii="仿宋_GB2312" w:eastAsia="仿宋_GB2312"/>
                <w:szCs w:val="21"/>
              </w:rPr>
              <w:t>课程不少于32学时。</w:t>
            </w:r>
          </w:p>
        </w:tc>
        <w:tc>
          <w:tcPr>
            <w:tcW w:w="2694" w:type="dxa"/>
            <w:shd w:val="clear" w:color="auto" w:fill="auto"/>
            <w:vAlign w:val="center"/>
          </w:tcPr>
          <w:p w:rsidR="00F3631A" w:rsidRPr="00F3631A" w:rsidRDefault="00F928E9" w:rsidP="00F3631A">
            <w:pPr>
              <w:widowControl/>
              <w:adjustRightInd w:val="0"/>
              <w:snapToGrid w:val="0"/>
              <w:rPr>
                <w:rFonts w:ascii="仿宋_GB2312" w:eastAsia="仿宋_GB2312"/>
                <w:kern w:val="0"/>
                <w:szCs w:val="21"/>
              </w:rPr>
            </w:pPr>
            <w:hyperlink r:id="rId10" w:history="1">
              <w:r w:rsidR="00F3631A" w:rsidRPr="00DF5E02">
                <w:rPr>
                  <w:rStyle w:val="a5"/>
                  <w:rFonts w:ascii="仿宋_GB2312" w:eastAsia="仿宋_GB2312" w:hint="eastAsia"/>
                  <w:kern w:val="0"/>
                  <w:szCs w:val="21"/>
                </w:rPr>
                <w:t>http://www.msra.cn/zh-cn/connections/computationalthinking.aspx</w:t>
              </w:r>
            </w:hyperlink>
          </w:p>
        </w:tc>
      </w:tr>
      <w:tr w:rsidR="00F3631A" w:rsidRPr="00F3631A" w:rsidTr="00DF5E02">
        <w:trPr>
          <w:cantSplit/>
          <w:trHeight w:val="20"/>
          <w:jc w:val="center"/>
        </w:trPr>
        <w:tc>
          <w:tcPr>
            <w:tcW w:w="708" w:type="dxa"/>
            <w:vMerge w:val="restart"/>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西门子</w:t>
            </w:r>
          </w:p>
        </w:tc>
        <w:tc>
          <w:tcPr>
            <w:tcW w:w="1134" w:type="dxa"/>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人才培养体系研究项目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1项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10万/项</w:t>
            </w:r>
          </w:p>
        </w:tc>
        <w:tc>
          <w:tcPr>
            <w:tcW w:w="3402"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项目面向全日制本、专科院校的自动化类专业与仪器仪表类专业的高校教师，重点支持具有行业通用性的工程类课程体系方案建设与相关实验室建设方法研究。要求</w:t>
            </w:r>
            <w:r w:rsidRPr="00F3631A">
              <w:rPr>
                <w:rFonts w:ascii="仿宋_GB2312" w:eastAsia="仿宋_GB2312" w:hint="eastAsia"/>
                <w:lang w:val="de-DE"/>
              </w:rPr>
              <w:t>申请专业的人才培养方案能够满足学生进行一年企业实习和在企业完成毕业设计</w:t>
            </w:r>
            <w:r w:rsidRPr="00F3631A">
              <w:rPr>
                <w:rFonts w:ascii="仿宋_GB2312" w:eastAsia="仿宋_GB2312" w:hint="eastAsia"/>
              </w:rPr>
              <w:t>。</w:t>
            </w:r>
          </w:p>
        </w:tc>
        <w:tc>
          <w:tcPr>
            <w:tcW w:w="2694" w:type="dxa"/>
            <w:vMerge w:val="restart"/>
            <w:shd w:val="clear" w:color="auto" w:fill="auto"/>
            <w:vAlign w:val="center"/>
          </w:tcPr>
          <w:p w:rsidR="00F3631A" w:rsidRPr="00F3631A" w:rsidRDefault="00F928E9" w:rsidP="00F3631A">
            <w:pPr>
              <w:pStyle w:val="p0"/>
              <w:adjustRightInd w:val="0"/>
              <w:snapToGrid w:val="0"/>
              <w:rPr>
                <w:rFonts w:ascii="仿宋_GB2312" w:eastAsia="仿宋_GB2312"/>
              </w:rPr>
            </w:pPr>
            <w:hyperlink r:id="rId11" w:history="1">
              <w:r w:rsidR="00F3631A" w:rsidRPr="00DF5E02">
                <w:rPr>
                  <w:rStyle w:val="a5"/>
                  <w:rFonts w:ascii="仿宋_GB2312" w:eastAsia="仿宋_GB2312" w:hint="eastAsia"/>
                </w:rPr>
                <w:t>http://www.industry.siemens.com.cn/topics/cn/zh/sce/Pages/program2014.aspx</w:t>
              </w:r>
            </w:hyperlink>
          </w:p>
        </w:tc>
      </w:tr>
      <w:tr w:rsidR="00F3631A" w:rsidRPr="00F3631A" w:rsidTr="00DF5E02">
        <w:trPr>
          <w:cantSplit/>
          <w:trHeight w:val="20"/>
          <w:jc w:val="center"/>
        </w:trPr>
        <w:tc>
          <w:tcPr>
            <w:tcW w:w="708"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c>
          <w:tcPr>
            <w:tcW w:w="1134" w:type="dxa"/>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专业综合改革项目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20项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软件配套支持</w:t>
            </w:r>
          </w:p>
        </w:tc>
        <w:tc>
          <w:tcPr>
            <w:tcW w:w="3402"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项目面向全日制本科院校的机械类专业教师，按照“卓越工程师教育培养计划”要求，重点支持</w:t>
            </w:r>
            <w:r w:rsidRPr="00F3631A">
              <w:rPr>
                <w:rFonts w:ascii="仿宋_GB2312" w:eastAsia="仿宋_GB2312" w:hint="eastAsia"/>
                <w:lang w:val="de-DE"/>
              </w:rPr>
              <w:t>以PLM工业自动化软件为应用背景开展的专业综合改革项目。</w:t>
            </w:r>
          </w:p>
        </w:tc>
        <w:tc>
          <w:tcPr>
            <w:tcW w:w="2694"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r>
      <w:tr w:rsidR="00F3631A" w:rsidRPr="00F3631A" w:rsidTr="00DF5E02">
        <w:trPr>
          <w:cantSplit/>
          <w:trHeight w:val="20"/>
          <w:jc w:val="center"/>
        </w:trPr>
        <w:tc>
          <w:tcPr>
            <w:tcW w:w="708" w:type="dxa"/>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北京触控科技</w:t>
            </w:r>
          </w:p>
        </w:tc>
        <w:tc>
          <w:tcPr>
            <w:tcW w:w="1134" w:type="dxa"/>
            <w:shd w:val="clear" w:color="auto" w:fill="auto"/>
            <w:vAlign w:val="center"/>
          </w:tcPr>
          <w:p w:rsidR="00F3631A" w:rsidRPr="00F3631A" w:rsidRDefault="00F3631A" w:rsidP="00F3631A">
            <w:pPr>
              <w:widowControl/>
              <w:adjustRightInd w:val="0"/>
              <w:snapToGrid w:val="0"/>
              <w:jc w:val="left"/>
              <w:rPr>
                <w:rFonts w:ascii="仿宋_GB2312" w:eastAsia="仿宋_GB2312"/>
                <w:kern w:val="0"/>
                <w:szCs w:val="21"/>
              </w:rPr>
            </w:pPr>
            <w:r w:rsidRPr="00F3631A">
              <w:rPr>
                <w:rFonts w:ascii="仿宋_GB2312" w:eastAsia="仿宋_GB2312" w:hint="eastAsia"/>
                <w:kern w:val="0"/>
                <w:szCs w:val="21"/>
              </w:rPr>
              <w:t>专业课程建设项目</w:t>
            </w:r>
          </w:p>
        </w:tc>
        <w:tc>
          <w:tcPr>
            <w:tcW w:w="1134" w:type="dxa"/>
            <w:vAlign w:val="center"/>
          </w:tcPr>
          <w:p w:rsidR="00F3631A" w:rsidRPr="00F3631A" w:rsidRDefault="00F3631A" w:rsidP="00F3631A">
            <w:pPr>
              <w:widowControl/>
              <w:adjustRightInd w:val="0"/>
              <w:snapToGrid w:val="0"/>
              <w:rPr>
                <w:rFonts w:ascii="仿宋_GB2312" w:eastAsia="仿宋_GB2312"/>
                <w:kern w:val="0"/>
                <w:szCs w:val="21"/>
              </w:rPr>
            </w:pPr>
            <w:r w:rsidRPr="00F3631A">
              <w:rPr>
                <w:rFonts w:ascii="仿宋_GB2312" w:eastAsia="仿宋_GB2312" w:hint="eastAsia"/>
                <w:kern w:val="0"/>
                <w:szCs w:val="21"/>
              </w:rPr>
              <w:t>15项</w:t>
            </w:r>
          </w:p>
        </w:tc>
        <w:tc>
          <w:tcPr>
            <w:tcW w:w="1701" w:type="dxa"/>
            <w:vAlign w:val="center"/>
          </w:tcPr>
          <w:p w:rsidR="00F3631A" w:rsidRPr="00F3631A" w:rsidRDefault="00F3631A" w:rsidP="00F3631A">
            <w:pPr>
              <w:widowControl/>
              <w:adjustRightInd w:val="0"/>
              <w:snapToGrid w:val="0"/>
              <w:rPr>
                <w:rFonts w:ascii="仿宋_GB2312" w:eastAsia="仿宋_GB2312"/>
                <w:kern w:val="0"/>
                <w:szCs w:val="21"/>
              </w:rPr>
            </w:pPr>
            <w:r w:rsidRPr="00F3631A">
              <w:rPr>
                <w:rFonts w:ascii="仿宋_GB2312" w:eastAsia="仿宋_GB2312" w:hint="eastAsia"/>
                <w:kern w:val="0"/>
                <w:szCs w:val="21"/>
              </w:rPr>
              <w:t>4万</w:t>
            </w:r>
            <w:r w:rsidRPr="00F3631A">
              <w:rPr>
                <w:rFonts w:ascii="仿宋_GB2312" w:eastAsia="仿宋_GB2312" w:hint="eastAsia"/>
                <w:szCs w:val="21"/>
              </w:rPr>
              <w:t>/项</w:t>
            </w:r>
          </w:p>
        </w:tc>
        <w:tc>
          <w:tcPr>
            <w:tcW w:w="3402" w:type="dxa"/>
            <w:vAlign w:val="center"/>
          </w:tcPr>
          <w:p w:rsidR="00F3631A" w:rsidRPr="00F3631A" w:rsidRDefault="00F3631A" w:rsidP="00F3631A">
            <w:pPr>
              <w:widowControl/>
              <w:adjustRightInd w:val="0"/>
              <w:snapToGrid w:val="0"/>
              <w:rPr>
                <w:kern w:val="0"/>
                <w:szCs w:val="21"/>
              </w:rPr>
            </w:pPr>
            <w:r w:rsidRPr="00F3631A">
              <w:rPr>
                <w:rFonts w:ascii="仿宋_GB2312" w:eastAsia="仿宋_GB2312" w:hint="eastAsia"/>
                <w:kern w:val="0"/>
                <w:szCs w:val="21"/>
              </w:rPr>
              <w:t>项目</w:t>
            </w:r>
            <w:r w:rsidRPr="00F3631A">
              <w:rPr>
                <w:rFonts w:ascii="仿宋_GB2312" w:eastAsia="仿宋_GB2312" w:hAnsi="仿宋_GB2312" w:cs="仿宋_GB2312"/>
                <w:szCs w:val="21"/>
                <w:lang w:val="zh-TW" w:eastAsia="zh-TW"/>
              </w:rPr>
              <w:t>面向高校计算机学院、软件学院、艺术设计学院、新闻传播学院及相关院系</w:t>
            </w:r>
            <w:r w:rsidRPr="00F3631A">
              <w:rPr>
                <w:rFonts w:ascii="仿宋_GB2312" w:eastAsia="仿宋_GB2312" w:hAnsi="仿宋_GB2312" w:cs="仿宋_GB2312" w:hint="eastAsia"/>
                <w:szCs w:val="21"/>
                <w:lang w:val="zh-TW"/>
              </w:rPr>
              <w:t>教师</w:t>
            </w:r>
            <w:r w:rsidRPr="00F3631A">
              <w:rPr>
                <w:rFonts w:ascii="仿宋_GB2312" w:eastAsia="仿宋_GB2312" w:hint="eastAsia"/>
                <w:kern w:val="0"/>
                <w:szCs w:val="21"/>
              </w:rPr>
              <w:t>，重点支持数字媒体技术基础课程、移动网络及云计算、数字媒体艺术、游戏引擎及开发工具、移动应用开发等方向的课程建设。要求</w:t>
            </w:r>
            <w:r w:rsidRPr="00F3631A">
              <w:rPr>
                <w:rFonts w:ascii="仿宋_GB2312" w:eastAsia="仿宋_GB2312" w:hAnsi="仿宋_GB2312" w:cs="仿宋_GB2312"/>
                <w:szCs w:val="21"/>
                <w:lang w:val="zh-TW" w:eastAsia="zh-TW"/>
              </w:rPr>
              <w:t>申报课程学时安排应不少于</w:t>
            </w:r>
            <w:r w:rsidRPr="00F3631A">
              <w:rPr>
                <w:rFonts w:ascii="仿宋_GB2312" w:eastAsia="仿宋_GB2312" w:hAnsi="仿宋_GB2312" w:cs="仿宋_GB2312"/>
                <w:szCs w:val="21"/>
              </w:rPr>
              <w:t>32</w:t>
            </w:r>
            <w:r w:rsidRPr="00F3631A">
              <w:rPr>
                <w:rFonts w:ascii="仿宋_GB2312" w:eastAsia="仿宋_GB2312" w:hAnsi="仿宋_GB2312" w:cs="仿宋_GB2312"/>
                <w:szCs w:val="21"/>
                <w:lang w:val="zh-TW" w:eastAsia="zh-TW"/>
              </w:rPr>
              <w:t>学时，平均每年开课次数不少于一次，平均每学期选修人数不少于</w:t>
            </w:r>
            <w:r w:rsidRPr="00F3631A">
              <w:rPr>
                <w:rFonts w:ascii="仿宋_GB2312" w:eastAsia="仿宋_GB2312" w:hAnsi="仿宋_GB2312" w:cs="仿宋_GB2312"/>
                <w:szCs w:val="21"/>
              </w:rPr>
              <w:t>30</w:t>
            </w:r>
            <w:r w:rsidRPr="00F3631A">
              <w:rPr>
                <w:rFonts w:ascii="仿宋_GB2312" w:eastAsia="仿宋_GB2312" w:hAnsi="仿宋_GB2312" w:cs="仿宋_GB2312"/>
                <w:szCs w:val="21"/>
                <w:lang w:val="zh-TW" w:eastAsia="zh-TW"/>
              </w:rPr>
              <w:t>人。</w:t>
            </w:r>
          </w:p>
        </w:tc>
        <w:tc>
          <w:tcPr>
            <w:tcW w:w="2694" w:type="dxa"/>
            <w:shd w:val="clear" w:color="auto" w:fill="auto"/>
            <w:vAlign w:val="center"/>
          </w:tcPr>
          <w:p w:rsidR="00F3631A" w:rsidRPr="00F3631A" w:rsidRDefault="00F928E9" w:rsidP="00F3631A">
            <w:pPr>
              <w:widowControl/>
              <w:adjustRightInd w:val="0"/>
              <w:snapToGrid w:val="0"/>
              <w:rPr>
                <w:rFonts w:ascii="仿宋_GB2312" w:eastAsia="仿宋_GB2312"/>
                <w:kern w:val="0"/>
                <w:szCs w:val="21"/>
              </w:rPr>
            </w:pPr>
            <w:hyperlink r:id="rId12" w:history="1">
              <w:r w:rsidR="00F3631A" w:rsidRPr="00DF5E02">
                <w:rPr>
                  <w:rStyle w:val="a5"/>
                  <w:rFonts w:ascii="仿宋_GB2312" w:eastAsia="仿宋_GB2312" w:hint="eastAsia"/>
                  <w:kern w:val="0"/>
                  <w:szCs w:val="21"/>
                </w:rPr>
                <w:t>http://www.chukong-inc.com/university</w:t>
              </w:r>
            </w:hyperlink>
          </w:p>
        </w:tc>
      </w:tr>
      <w:tr w:rsidR="00F3631A" w:rsidRPr="005E663E" w:rsidTr="00DF5E02">
        <w:trPr>
          <w:cantSplit/>
          <w:trHeight w:val="20"/>
          <w:jc w:val="center"/>
        </w:trPr>
        <w:tc>
          <w:tcPr>
            <w:tcW w:w="708" w:type="dxa"/>
            <w:vMerge w:val="restart"/>
            <w:shd w:val="clear" w:color="auto" w:fill="auto"/>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元计算</w:t>
            </w:r>
          </w:p>
        </w:tc>
        <w:tc>
          <w:tcPr>
            <w:tcW w:w="1134" w:type="dxa"/>
            <w:shd w:val="clear" w:color="auto" w:fill="auto"/>
            <w:vAlign w:val="center"/>
          </w:tcPr>
          <w:p w:rsidR="00F3631A" w:rsidRPr="00F3631A" w:rsidRDefault="00F3631A" w:rsidP="00F3631A">
            <w:pPr>
              <w:widowControl/>
              <w:adjustRightInd w:val="0"/>
              <w:snapToGrid w:val="0"/>
              <w:rPr>
                <w:rFonts w:ascii="仿宋_GB2312" w:eastAsia="仿宋_GB2312"/>
                <w:kern w:val="0"/>
                <w:szCs w:val="21"/>
              </w:rPr>
            </w:pPr>
            <w:r w:rsidRPr="00F3631A">
              <w:rPr>
                <w:rFonts w:ascii="仿宋_GB2312" w:eastAsia="仿宋_GB2312" w:hint="eastAsia"/>
                <w:kern w:val="0"/>
                <w:szCs w:val="21"/>
              </w:rPr>
              <w:t>专业教材建设项目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10项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1万/项</w:t>
            </w:r>
          </w:p>
        </w:tc>
        <w:tc>
          <w:tcPr>
            <w:tcW w:w="3402" w:type="dxa"/>
            <w:vAlign w:val="center"/>
          </w:tcPr>
          <w:p w:rsidR="00F3631A" w:rsidRPr="00F3631A" w:rsidRDefault="00F3631A" w:rsidP="00F3631A">
            <w:pPr>
              <w:adjustRightInd w:val="0"/>
              <w:snapToGrid w:val="0"/>
              <w:rPr>
                <w:rFonts w:ascii="仿宋_GB2312" w:eastAsia="仿宋_GB2312"/>
                <w:color w:val="000000"/>
                <w:szCs w:val="21"/>
                <w:lang w:val="de-DE"/>
              </w:rPr>
            </w:pPr>
            <w:r w:rsidRPr="00F3631A">
              <w:rPr>
                <w:rFonts w:ascii="仿宋_GB2312" w:eastAsia="仿宋_GB2312" w:hint="eastAsia"/>
                <w:color w:val="000000"/>
                <w:szCs w:val="21"/>
                <w:lang w:val="de-DE"/>
              </w:rPr>
              <w:t>项目面向理工类（包含数学、力学、机械、材料、冶金、土木、航空航天、电气、地球物理、船舶等）专业高校教师，重点支持从实际工程应用出发，将工程性、知识性、科学性、创造性融为一体的有限元分析相关教材建设。</w:t>
            </w:r>
          </w:p>
        </w:tc>
        <w:tc>
          <w:tcPr>
            <w:tcW w:w="2694" w:type="dxa"/>
            <w:vMerge w:val="restart"/>
            <w:shd w:val="clear" w:color="auto" w:fill="auto"/>
            <w:vAlign w:val="center"/>
          </w:tcPr>
          <w:p w:rsidR="00F3631A" w:rsidRPr="00F3631A" w:rsidRDefault="00F928E9" w:rsidP="00F3631A">
            <w:pPr>
              <w:pStyle w:val="p0"/>
              <w:adjustRightInd w:val="0"/>
              <w:snapToGrid w:val="0"/>
              <w:rPr>
                <w:rFonts w:ascii="仿宋_GB2312" w:eastAsia="仿宋_GB2312"/>
                <w:lang w:val="de-DE"/>
              </w:rPr>
            </w:pPr>
            <w:hyperlink r:id="rId13" w:history="1">
              <w:r w:rsidR="00F3631A" w:rsidRPr="00DF5E02">
                <w:rPr>
                  <w:rStyle w:val="a5"/>
                  <w:rFonts w:ascii="仿宋_GB2312" w:eastAsia="仿宋_GB2312" w:hint="eastAsia"/>
                  <w:lang w:val="de-DE"/>
                </w:rPr>
                <w:t>http://www.ectec.asia/sc_ysq.asp</w:t>
              </w:r>
            </w:hyperlink>
          </w:p>
        </w:tc>
      </w:tr>
      <w:tr w:rsidR="00F3631A" w:rsidRPr="00F3631A" w:rsidTr="00DF5E02">
        <w:trPr>
          <w:cantSplit/>
          <w:trHeight w:val="20"/>
          <w:jc w:val="center"/>
        </w:trPr>
        <w:tc>
          <w:tcPr>
            <w:tcW w:w="708" w:type="dxa"/>
            <w:vMerge/>
            <w:shd w:val="clear" w:color="auto" w:fill="auto"/>
            <w:vAlign w:val="center"/>
          </w:tcPr>
          <w:p w:rsidR="00F3631A" w:rsidRPr="00F3631A" w:rsidRDefault="00F3631A" w:rsidP="00F3631A">
            <w:pPr>
              <w:pStyle w:val="p0"/>
              <w:adjustRightInd w:val="0"/>
              <w:snapToGrid w:val="0"/>
              <w:rPr>
                <w:rFonts w:ascii="仿宋_GB2312" w:eastAsia="仿宋_GB2312"/>
                <w:lang w:val="de-DE"/>
              </w:rPr>
            </w:pPr>
          </w:p>
        </w:tc>
        <w:tc>
          <w:tcPr>
            <w:tcW w:w="1134" w:type="dxa"/>
            <w:shd w:val="clear" w:color="auto" w:fill="auto"/>
            <w:vAlign w:val="center"/>
          </w:tcPr>
          <w:p w:rsidR="00F3631A" w:rsidRPr="00F3631A" w:rsidRDefault="00F3631A" w:rsidP="00F3631A">
            <w:pPr>
              <w:widowControl/>
              <w:adjustRightInd w:val="0"/>
              <w:snapToGrid w:val="0"/>
              <w:rPr>
                <w:rFonts w:ascii="仿宋_GB2312" w:eastAsia="仿宋_GB2312"/>
                <w:kern w:val="0"/>
                <w:szCs w:val="21"/>
              </w:rPr>
            </w:pPr>
            <w:r w:rsidRPr="00F3631A">
              <w:rPr>
                <w:rFonts w:ascii="仿宋_GB2312" w:eastAsia="仿宋_GB2312" w:hint="eastAsia"/>
                <w:kern w:val="0"/>
                <w:szCs w:val="21"/>
              </w:rPr>
              <w:t>专业综合改革项目</w:t>
            </w:r>
          </w:p>
        </w:tc>
        <w:tc>
          <w:tcPr>
            <w:tcW w:w="1134"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10项</w:t>
            </w:r>
          </w:p>
        </w:tc>
        <w:tc>
          <w:tcPr>
            <w:tcW w:w="1701" w:type="dxa"/>
            <w:vAlign w:val="center"/>
          </w:tcPr>
          <w:p w:rsidR="00F3631A" w:rsidRPr="00F3631A" w:rsidRDefault="00F3631A" w:rsidP="00F3631A">
            <w:pPr>
              <w:pStyle w:val="p0"/>
              <w:adjustRightInd w:val="0"/>
              <w:snapToGrid w:val="0"/>
              <w:rPr>
                <w:rFonts w:ascii="仿宋_GB2312" w:eastAsia="仿宋_GB2312"/>
              </w:rPr>
            </w:pPr>
            <w:r w:rsidRPr="00F3631A">
              <w:rPr>
                <w:rFonts w:ascii="仿宋_GB2312" w:eastAsia="仿宋_GB2312" w:hint="eastAsia"/>
              </w:rPr>
              <w:t>4万/项</w:t>
            </w:r>
          </w:p>
        </w:tc>
        <w:tc>
          <w:tcPr>
            <w:tcW w:w="3402" w:type="dxa"/>
            <w:vAlign w:val="center"/>
          </w:tcPr>
          <w:p w:rsidR="00F3631A" w:rsidRPr="00F3631A" w:rsidRDefault="00F3631A" w:rsidP="00F3631A">
            <w:pPr>
              <w:adjustRightInd w:val="0"/>
              <w:snapToGrid w:val="0"/>
              <w:rPr>
                <w:rFonts w:ascii="仿宋_GB2312" w:eastAsia="仿宋_GB2312"/>
                <w:szCs w:val="21"/>
              </w:rPr>
            </w:pPr>
            <w:r w:rsidRPr="00F3631A">
              <w:rPr>
                <w:rFonts w:ascii="仿宋_GB2312" w:eastAsia="仿宋_GB2312" w:hint="eastAsia"/>
                <w:szCs w:val="21"/>
              </w:rPr>
              <w:t>项目面向</w:t>
            </w:r>
            <w:r w:rsidRPr="00F3631A">
              <w:rPr>
                <w:rFonts w:ascii="仿宋_GB2312" w:eastAsia="仿宋_GB2312" w:hint="eastAsia"/>
                <w:color w:val="000000"/>
                <w:szCs w:val="21"/>
              </w:rPr>
              <w:t>全日制本科院校的力学类专业教师</w:t>
            </w:r>
            <w:r w:rsidRPr="00F3631A">
              <w:rPr>
                <w:rFonts w:ascii="仿宋_GB2312" w:eastAsia="仿宋_GB2312" w:hint="eastAsia"/>
                <w:szCs w:val="21"/>
              </w:rPr>
              <w:t>，要求</w:t>
            </w:r>
            <w:r w:rsidRPr="00F3631A">
              <w:rPr>
                <w:rFonts w:ascii="仿宋_GB2312" w:eastAsia="仿宋_GB2312" w:hint="eastAsia"/>
                <w:szCs w:val="21"/>
                <w:lang w:val="de-DE"/>
              </w:rPr>
              <w:t>在原有专业培养方案的基础上，与企业合作规划课程体系，以PFEPG并行有限元自动生成系统为教学工具进行专业课程改造。</w:t>
            </w:r>
          </w:p>
        </w:tc>
        <w:tc>
          <w:tcPr>
            <w:tcW w:w="2694" w:type="dxa"/>
            <w:vMerge/>
            <w:shd w:val="clear" w:color="auto" w:fill="auto"/>
            <w:vAlign w:val="center"/>
          </w:tcPr>
          <w:p w:rsidR="00F3631A" w:rsidRPr="00F3631A" w:rsidRDefault="00F3631A" w:rsidP="00F3631A">
            <w:pPr>
              <w:pStyle w:val="p0"/>
              <w:adjustRightInd w:val="0"/>
              <w:snapToGrid w:val="0"/>
              <w:rPr>
                <w:rFonts w:ascii="仿宋_GB2312" w:eastAsia="仿宋_GB2312"/>
              </w:rPr>
            </w:pPr>
          </w:p>
        </w:tc>
      </w:tr>
    </w:tbl>
    <w:p w:rsidR="00F3631A" w:rsidRDefault="00F3631A" w:rsidP="00F3631A">
      <w:pPr>
        <w:pStyle w:val="p0"/>
        <w:spacing w:line="560" w:lineRule="exact"/>
      </w:pPr>
    </w:p>
    <w:p w:rsidR="00DA3341" w:rsidRPr="00F3631A" w:rsidRDefault="00DA3341" w:rsidP="00E2782A">
      <w:pPr>
        <w:widowControl/>
        <w:adjustRightInd w:val="0"/>
        <w:snapToGrid w:val="0"/>
        <w:spacing w:line="360" w:lineRule="auto"/>
        <w:ind w:firstLineChars="200" w:firstLine="480"/>
        <w:jc w:val="left"/>
        <w:rPr>
          <w:rFonts w:ascii="宋体" w:eastAsia="宋体" w:hAnsi="宋体" w:cs="宋体"/>
          <w:color w:val="000000"/>
          <w:kern w:val="0"/>
          <w:sz w:val="24"/>
          <w:szCs w:val="24"/>
        </w:rPr>
      </w:pPr>
    </w:p>
    <w:p w:rsidR="00827818" w:rsidRDefault="00C753C7" w:rsidP="00E2782A">
      <w:pPr>
        <w:widowControl/>
        <w:adjustRightInd w:val="0"/>
        <w:snapToGrid w:val="0"/>
        <w:spacing w:line="360" w:lineRule="auto"/>
        <w:jc w:val="left"/>
      </w:pPr>
      <w:r w:rsidRPr="00271BCC">
        <w:rPr>
          <w:rFonts w:ascii="宋体" w:eastAsia="宋体" w:hAnsi="宋体" w:cs="宋体" w:hint="eastAsia"/>
          <w:color w:val="000000"/>
          <w:kern w:val="0"/>
          <w:sz w:val="24"/>
          <w:szCs w:val="24"/>
        </w:rPr>
        <w:t xml:space="preserve">　</w:t>
      </w:r>
    </w:p>
    <w:sectPr w:rsidR="00827818" w:rsidSect="001725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3ED" w:rsidRDefault="003103ED" w:rsidP="00271BCC">
      <w:r>
        <w:separator/>
      </w:r>
    </w:p>
  </w:endnote>
  <w:endnote w:type="continuationSeparator" w:id="1">
    <w:p w:rsidR="003103ED" w:rsidRDefault="003103ED" w:rsidP="00271B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3ED" w:rsidRDefault="003103ED" w:rsidP="00271BCC">
      <w:r>
        <w:separator/>
      </w:r>
    </w:p>
  </w:footnote>
  <w:footnote w:type="continuationSeparator" w:id="1">
    <w:p w:rsidR="003103ED" w:rsidRDefault="003103ED" w:rsidP="00271B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1BCC"/>
    <w:rsid w:val="00096B4A"/>
    <w:rsid w:val="001725D1"/>
    <w:rsid w:val="001D64D1"/>
    <w:rsid w:val="00271BCC"/>
    <w:rsid w:val="002776AB"/>
    <w:rsid w:val="0029747B"/>
    <w:rsid w:val="002A1C1E"/>
    <w:rsid w:val="003103ED"/>
    <w:rsid w:val="003467CF"/>
    <w:rsid w:val="005B4258"/>
    <w:rsid w:val="005E663E"/>
    <w:rsid w:val="00665EAA"/>
    <w:rsid w:val="006A6A4B"/>
    <w:rsid w:val="00717AB3"/>
    <w:rsid w:val="007A374C"/>
    <w:rsid w:val="00827818"/>
    <w:rsid w:val="00924D7C"/>
    <w:rsid w:val="00A073FC"/>
    <w:rsid w:val="00BD7083"/>
    <w:rsid w:val="00BE5688"/>
    <w:rsid w:val="00C42738"/>
    <w:rsid w:val="00C753C7"/>
    <w:rsid w:val="00CC2692"/>
    <w:rsid w:val="00CE0B12"/>
    <w:rsid w:val="00D03468"/>
    <w:rsid w:val="00D74DDB"/>
    <w:rsid w:val="00D90DC1"/>
    <w:rsid w:val="00DA3341"/>
    <w:rsid w:val="00DF5E02"/>
    <w:rsid w:val="00E2782A"/>
    <w:rsid w:val="00F3631A"/>
    <w:rsid w:val="00F92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5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1BCC"/>
    <w:rPr>
      <w:sz w:val="18"/>
      <w:szCs w:val="18"/>
    </w:rPr>
  </w:style>
  <w:style w:type="paragraph" w:styleId="a4">
    <w:name w:val="footer"/>
    <w:basedOn w:val="a"/>
    <w:link w:val="Char0"/>
    <w:uiPriority w:val="99"/>
    <w:semiHidden/>
    <w:unhideWhenUsed/>
    <w:rsid w:val="00271B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1BCC"/>
    <w:rPr>
      <w:sz w:val="18"/>
      <w:szCs w:val="18"/>
    </w:rPr>
  </w:style>
  <w:style w:type="paragraph" w:customStyle="1" w:styleId="p0">
    <w:name w:val="p0"/>
    <w:basedOn w:val="a"/>
    <w:rsid w:val="00F3631A"/>
    <w:pPr>
      <w:widowControl/>
    </w:pPr>
    <w:rPr>
      <w:rFonts w:ascii="Times New Roman" w:eastAsia="宋体" w:hAnsi="Times New Roman" w:cs="Times New Roman"/>
      <w:kern w:val="0"/>
      <w:szCs w:val="21"/>
    </w:rPr>
  </w:style>
  <w:style w:type="character" w:styleId="a5">
    <w:name w:val="Hyperlink"/>
    <w:basedOn w:val="a0"/>
    <w:uiPriority w:val="99"/>
    <w:unhideWhenUsed/>
    <w:rsid w:val="00DF5E02"/>
    <w:rPr>
      <w:color w:val="0000FF" w:themeColor="hyperlink"/>
      <w:u w:val="single"/>
    </w:rPr>
  </w:style>
  <w:style w:type="character" w:styleId="a6">
    <w:name w:val="FollowedHyperlink"/>
    <w:basedOn w:val="a0"/>
    <w:uiPriority w:val="99"/>
    <w:semiHidden/>
    <w:unhideWhenUsed/>
    <w:rsid w:val="00DF5E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cn/edu/curriculum" TargetMode="External"/><Relationship Id="rId13" Type="http://schemas.openxmlformats.org/officeDocument/2006/relationships/hyperlink" Target="http://www.ectec.asia/sc_ysq.asp" TargetMode="External"/><Relationship Id="rId3" Type="http://schemas.openxmlformats.org/officeDocument/2006/relationships/webSettings" Target="webSettings.xml"/><Relationship Id="rId7" Type="http://schemas.openxmlformats.org/officeDocument/2006/relationships/hyperlink" Target="http://www.google.cn/university/curriculum/collaboration.html" TargetMode="External"/><Relationship Id="rId12" Type="http://schemas.openxmlformats.org/officeDocument/2006/relationships/hyperlink" Target="http://www.chukong-inc.com/univers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research.baidu.com/activityindex.jhtml?channelId=816" TargetMode="External"/><Relationship Id="rId11" Type="http://schemas.openxmlformats.org/officeDocument/2006/relationships/hyperlink" Target="http://www.industry.siemens.com.cn/topics/cn/zh/sce/Pages/program2014.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sra.cn/zh-cn/connections/computationalthinking.aspx" TargetMode="External"/><Relationship Id="rId4" Type="http://schemas.openxmlformats.org/officeDocument/2006/relationships/footnotes" Target="footnotes.xml"/><Relationship Id="rId9" Type="http://schemas.openxmlformats.org/officeDocument/2006/relationships/hyperlink" Target="http://www-31.ibm.com/ibm/cn/university/programs/reform_program.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2014-09-01T03:23:00Z</dcterms:created>
  <dcterms:modified xsi:type="dcterms:W3CDTF">2014-09-01T03:24:00Z</dcterms:modified>
</cp:coreProperties>
</file>