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6F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材料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科学与工程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学院202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级研究生</w:t>
      </w:r>
    </w:p>
    <w:p w14:paraId="4794E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学业奖学金评审细则</w:t>
      </w:r>
    </w:p>
    <w:p w14:paraId="3B12E6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0"/>
        <w:textAlignment w:val="auto"/>
        <w:rPr>
          <w:rFonts w:hint="eastAsia" w:ascii="方正仿宋_GB2312" w:hAnsi="方正仿宋_GB2312" w:eastAsia="仿宋_GB2312" w:cs="方正仿宋_GB2312"/>
          <w:sz w:val="28"/>
          <w:szCs w:val="28"/>
          <w:lang w:val="en-US" w:eastAsia="zh-CN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为进一步推进学院研究生教育综合改革，激励我院研究生勤奋学习、潜心科研、勇于创新、积极进取，更好地支持其顺利完成学业，根据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《中国石油大学（北京）研究生学业奖学金管理办法》（中石大京学〔2019〕125号）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《中国石油大学（北京）关于“2+X”一专多能人才培养计划研究生奖助学金评定的暂行规定》（中石大京学〔2016〕64号）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等文件精神，结合我院实际，特制订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本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细则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7841CB15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b/>
          <w:bCs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b/>
          <w:bCs/>
          <w:color w:val="000000"/>
          <w:sz w:val="29"/>
          <w:szCs w:val="29"/>
        </w:rPr>
        <w:t>一、评审组织</w:t>
      </w:r>
    </w:p>
    <w:p w14:paraId="0F18D1A7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学院成立</w:t>
      </w:r>
      <w:r>
        <w:rPr>
          <w:rFonts w:hint="eastAsia" w:ascii="仿宋_GB2312" w:hAnsi="微软雅黑" w:eastAsia="仿宋_GB2312"/>
          <w:color w:val="323232"/>
          <w:sz w:val="29"/>
          <w:szCs w:val="29"/>
        </w:rPr>
        <w:t>202</w:t>
      </w:r>
      <w:r>
        <w:rPr>
          <w:rFonts w:hint="eastAsia" w:ascii="仿宋_GB2312" w:hAnsi="微软雅黑" w:eastAsia="仿宋_GB2312"/>
          <w:color w:val="323232"/>
          <w:sz w:val="29"/>
          <w:szCs w:val="29"/>
          <w:lang w:val="en-US" w:eastAsia="zh-CN"/>
        </w:rPr>
        <w:t>6</w:t>
      </w:r>
      <w:r>
        <w:rPr>
          <w:rFonts w:hint="eastAsia" w:ascii="仿宋_GB2312" w:hAnsi="微软雅黑" w:eastAsia="仿宋_GB2312"/>
          <w:color w:val="000000"/>
          <w:sz w:val="29"/>
          <w:szCs w:val="29"/>
        </w:rPr>
        <w:t>年学业奖学金评审领导小组。</w:t>
      </w:r>
    </w:p>
    <w:p w14:paraId="462FB23C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组长：叶海木</w:t>
      </w:r>
    </w:p>
    <w:p w14:paraId="2ED574F9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default" w:ascii="微软雅黑" w:hAnsi="微软雅黑" w:eastAsia="仿宋_GB2312"/>
          <w:color w:val="333333"/>
          <w:sz w:val="21"/>
          <w:szCs w:val="21"/>
          <w:lang w:val="en-US" w:eastAsia="zh-CN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副组长：</w:t>
      </w:r>
      <w:r>
        <w:rPr>
          <w:rFonts w:hint="eastAsia" w:ascii="仿宋_GB2312" w:hAnsi="微软雅黑" w:eastAsia="仿宋_GB2312"/>
          <w:color w:val="000000"/>
          <w:sz w:val="29"/>
          <w:szCs w:val="29"/>
          <w:lang w:val="en-US" w:eastAsia="zh-CN"/>
        </w:rPr>
        <w:t>詹洪磊、杨旺</w:t>
      </w:r>
      <w:bookmarkStart w:id="0" w:name="_GoBack"/>
      <w:bookmarkEnd w:id="0"/>
    </w:p>
    <w:p w14:paraId="4DF551BE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default" w:ascii="微软雅黑" w:hAnsi="微软雅黑" w:eastAsia="仿宋_GB2312"/>
          <w:color w:val="333333"/>
          <w:sz w:val="21"/>
          <w:szCs w:val="21"/>
          <w:lang w:val="en-US" w:eastAsia="zh-CN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成员：</w:t>
      </w:r>
      <w:r>
        <w:rPr>
          <w:rFonts w:hint="eastAsia" w:ascii="仿宋_GB2312" w:hAnsi="微软雅黑" w:eastAsia="仿宋_GB2312"/>
          <w:color w:val="000000"/>
          <w:sz w:val="29"/>
          <w:szCs w:val="29"/>
          <w:lang w:val="en-US" w:eastAsia="zh-CN"/>
        </w:rPr>
        <w:t>于开元</w:t>
      </w:r>
      <w:r>
        <w:rPr>
          <w:rFonts w:hint="eastAsia" w:ascii="仿宋_GB2312" w:hAnsi="微软雅黑" w:eastAsia="仿宋_GB2312"/>
          <w:color w:val="000000"/>
          <w:sz w:val="29"/>
          <w:szCs w:val="29"/>
        </w:rPr>
        <w:t>、</w:t>
      </w:r>
      <w:r>
        <w:rPr>
          <w:rFonts w:hint="eastAsia" w:ascii="仿宋_GB2312" w:hAnsi="微软雅黑" w:eastAsia="仿宋_GB2312"/>
          <w:color w:val="000000"/>
          <w:sz w:val="29"/>
          <w:szCs w:val="29"/>
          <w:lang w:val="en-US" w:eastAsia="zh-CN"/>
        </w:rPr>
        <w:t>车赛</w:t>
      </w:r>
      <w:r>
        <w:rPr>
          <w:rFonts w:hint="eastAsia" w:ascii="仿宋_GB2312" w:hAnsi="微软雅黑" w:eastAsia="仿宋_GB2312"/>
          <w:color w:val="000000"/>
          <w:sz w:val="29"/>
          <w:szCs w:val="29"/>
        </w:rPr>
        <w:t>、</w:t>
      </w:r>
      <w:r>
        <w:rPr>
          <w:rFonts w:hint="eastAsia" w:ascii="仿宋_GB2312" w:hAnsi="微软雅黑" w:eastAsia="仿宋_GB2312"/>
          <w:color w:val="000000"/>
          <w:sz w:val="29"/>
          <w:szCs w:val="29"/>
          <w:lang w:val="en-US" w:eastAsia="zh-CN"/>
        </w:rPr>
        <w:t>李勃天、于浩波、苗昕扬、崔永朋、许崇、吴天宇、魏雪巍、周凌希、李启航</w:t>
      </w:r>
    </w:p>
    <w:p w14:paraId="574DC555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b/>
          <w:bCs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b/>
          <w:bCs/>
          <w:color w:val="333333"/>
          <w:sz w:val="29"/>
          <w:szCs w:val="29"/>
        </w:rPr>
        <w:t>二、奖励标准和申请基本条件</w:t>
      </w:r>
    </w:p>
    <w:p w14:paraId="01D8B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研究生2026年学业奖学金，如下表所示所示：</w:t>
      </w:r>
    </w:p>
    <w:tbl>
      <w:tblPr>
        <w:tblStyle w:val="5"/>
        <w:tblW w:w="93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1875"/>
        <w:gridCol w:w="1875"/>
        <w:gridCol w:w="1875"/>
        <w:gridCol w:w="1875"/>
      </w:tblGrid>
      <w:tr w14:paraId="48680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5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4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奖学金（元/人/年）</w:t>
            </w:r>
          </w:p>
        </w:tc>
      </w:tr>
      <w:tr w14:paraId="71CA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8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1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奖学金等级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25200（100%含助研8400）</w:t>
            </w:r>
          </w:p>
        </w:tc>
      </w:tr>
      <w:tr w14:paraId="20AC6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0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奖学金等级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一等（30%）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1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二等（40%）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7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三等（30%）</w:t>
            </w:r>
          </w:p>
        </w:tc>
      </w:tr>
      <w:tr w14:paraId="11A7B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EE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奖学金金额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4800</w:t>
            </w:r>
          </w:p>
        </w:tc>
      </w:tr>
    </w:tbl>
    <w:p w14:paraId="5D982984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学院可根据实际情况，对研究生学业奖学金覆盖面、等级及奖励标准进行动态调整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_GB2312" w:hAnsi="微软雅黑" w:eastAsia="仿宋_GB2312"/>
          <w:color w:val="000000"/>
          <w:sz w:val="29"/>
          <w:szCs w:val="29"/>
        </w:rPr>
        <w:t>申请研究生学业奖学金的基本条件严格按照《研究生学业奖学金管理办法（修订）》执行。</w:t>
      </w:r>
    </w:p>
    <w:p w14:paraId="7BE89B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80" w:firstLineChars="200"/>
        <w:textAlignment w:val="auto"/>
        <w:rPr>
          <w:rFonts w:hint="default" w:ascii="方正楷体_GB2312" w:hAnsi="方正楷体_GB2312" w:eastAsia="方正楷体_GB2312" w:cs="方正楷体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三、</w:t>
      </w:r>
      <w:r>
        <w:rPr>
          <w:rFonts w:hint="eastAsia" w:ascii="方正楷体_GB2312" w:hAnsi="方正楷体_GB2312" w:eastAsia="方正楷体_GB2312" w:cs="方正楷体_GB2312"/>
          <w:b/>
          <w:bCs/>
          <w:kern w:val="2"/>
          <w:sz w:val="28"/>
          <w:szCs w:val="28"/>
          <w:lang w:val="en-US" w:eastAsia="zh-CN" w:bidi="ar-SA"/>
        </w:rPr>
        <w:t>（一）基本条件</w:t>
      </w:r>
    </w:p>
    <w:p w14:paraId="3C0E479E">
      <w:pPr>
        <w:adjustRightInd w:val="0"/>
        <w:snapToGrid w:val="0"/>
        <w:spacing w:line="560" w:lineRule="exact"/>
        <w:ind w:firstLine="560" w:firstLineChars="200"/>
        <w:rPr>
          <w:rFonts w:hint="default" w:ascii="仿宋_GB2312" w:hAnsi="宋体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申请学生需满足以下基本条件：</w:t>
      </w:r>
    </w:p>
    <w:p w14:paraId="5EB67663">
      <w:pPr>
        <w:adjustRightInd w:val="0"/>
        <w:snapToGrid w:val="0"/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1.热爱社会主义祖国，拥护中国共产党的领导； </w:t>
      </w:r>
    </w:p>
    <w:p w14:paraId="784F63F3">
      <w:pPr>
        <w:adjustRightInd w:val="0"/>
        <w:snapToGrid w:val="0"/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2.遵守宪法和法律，遵守学校的各项规章制度； </w:t>
      </w:r>
    </w:p>
    <w:p w14:paraId="5048CEC2">
      <w:pPr>
        <w:adjustRightInd w:val="0"/>
        <w:snapToGrid w:val="0"/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3.诚实守信，品学兼优；</w:t>
      </w:r>
    </w:p>
    <w:p w14:paraId="3699ADD8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4.按时进行学籍注册，认真完成培养方案规定的学习和科研任务，积极参加科学研究和社会实践；</w:t>
      </w:r>
    </w:p>
    <w:p w14:paraId="50D4C1C0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5.未超出基本学制年限。</w:t>
      </w:r>
    </w:p>
    <w:p w14:paraId="534A1AE9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硕士研究生受到通报批评或有课程不及格者，学业奖学金降低一个档次。研究生有下列情况之一者，不能参评：</w:t>
      </w:r>
    </w:p>
    <w:p w14:paraId="4C027377">
      <w:pPr>
        <w:adjustRightInd w:val="0"/>
        <w:snapToGrid w:val="0"/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1.未按时进行学籍注册；</w:t>
      </w:r>
    </w:p>
    <w:p w14:paraId="5B503F34">
      <w:pPr>
        <w:adjustRightInd w:val="0"/>
        <w:snapToGrid w:val="0"/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2.违反校纪校规，受到警告（含）以上处分且处分未被解除；</w:t>
      </w:r>
    </w:p>
    <w:p w14:paraId="4FF1728C">
      <w:pPr>
        <w:adjustRightInd w:val="0"/>
        <w:snapToGrid w:val="0"/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3.中期考核未通过；</w:t>
      </w:r>
    </w:p>
    <w:p w14:paraId="33EF1ED7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4.当年档案未到校或不完整（指学生在入学报到时，依据其学习、生活和工作经历，应有相关记录其经历的档案材料，但其档案缺失或部分缺失）。</w:t>
      </w:r>
    </w:p>
    <w:p w14:paraId="67D066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方正楷体_GB2312" w:hAnsi="方正楷体_GB2312" w:eastAsia="方正楷体_GB2312" w:cs="方正楷体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楷体_GB2312" w:hAnsi="方正楷体_GB2312" w:eastAsia="方正楷体_GB2312" w:cs="方正楷体_GB2312"/>
          <w:b/>
          <w:bCs/>
          <w:kern w:val="2"/>
          <w:sz w:val="28"/>
          <w:szCs w:val="28"/>
          <w:lang w:val="en-US" w:eastAsia="zh-CN" w:bidi="ar-SA"/>
        </w:rPr>
        <w:t>（二）注意事项</w:t>
      </w:r>
    </w:p>
    <w:p w14:paraId="2C77098A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1.研究生获得学业奖学金的年限不得超过基本学制年限规定时间，全日制在校研究生超出基本学制年限规定时间即视为延期，延期毕业硕士生不再享受学业奖学金，延期毕业博士生的奖助方案参照2013年第18次（总第376次）校长办公会通过的《中国石油大学（北京）研究生奖助实施方案》中的相关条款执行。</w:t>
      </w:r>
    </w:p>
    <w:p w14:paraId="7C1CC248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2.直接攻读博士学位的研究生按照博士生身份参评，硕博连读生在注册为博士生之前，按照硕士生身份参评，注册为博士生后，按照博士生身份参评。</w:t>
      </w:r>
    </w:p>
    <w:tbl>
      <w:tblPr>
        <w:tblStyle w:val="5"/>
        <w:tblW w:w="102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 w14:paraId="5A677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1C5A7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4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第1年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7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第2年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第3年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第4年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6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第5年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第6年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第7年</w:t>
            </w:r>
          </w:p>
        </w:tc>
      </w:tr>
      <w:tr w14:paraId="05E54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D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普博生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17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F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B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63FB0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4D30D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6AAAB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BE0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2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硕士1年后硕博连读生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7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2B745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0B81F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A8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E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硕士2年后硕博连读生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157AE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D3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硕士3年后硕博连读生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2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7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7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4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</w:tr>
      <w:tr w14:paraId="3FC14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9D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博士研究生学业奖学金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0FBA6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vAlign w:val="center"/>
          </w:tcPr>
          <w:p w14:paraId="3BB84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35E6984">
      <w:pPr>
        <w:adjustRightInd w:val="0"/>
        <w:snapToGrid w:val="0"/>
        <w:spacing w:line="560" w:lineRule="exact"/>
        <w:ind w:firstLine="560" w:firstLineChars="200"/>
        <w:rPr>
          <w:rFonts w:hint="eastAsia" w:ascii="仿宋_GB2312" w:hAnsi="微软雅黑" w:eastAsia="仿宋_GB2312"/>
          <w:color w:val="000000"/>
          <w:sz w:val="29"/>
          <w:szCs w:val="29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3.在校学习期间，因公派出国（境）攻读学位或自费留学的研究生，出国前应办理退学手续，不再享受研究生学业奖学金评选资格。评选前，因联合培养出国（境）、疾病、婚育等原因办理保留学籍或休学等手续的研究生，不参加当学年学业奖学金的评选。</w:t>
      </w:r>
    </w:p>
    <w:p w14:paraId="317D8C6A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b/>
          <w:bCs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b/>
          <w:bCs/>
          <w:color w:val="000000"/>
          <w:sz w:val="29"/>
          <w:szCs w:val="29"/>
          <w:lang w:val="en-US" w:eastAsia="zh-CN"/>
        </w:rPr>
        <w:t>四、</w:t>
      </w:r>
      <w:r>
        <w:rPr>
          <w:rFonts w:hint="eastAsia" w:ascii="仿宋_GB2312" w:hAnsi="微软雅黑" w:eastAsia="仿宋_GB2312"/>
          <w:b/>
          <w:bCs/>
          <w:color w:val="000000"/>
          <w:sz w:val="29"/>
          <w:szCs w:val="29"/>
        </w:rPr>
        <w:t>评审方式</w:t>
      </w:r>
    </w:p>
    <w:p w14:paraId="388081B8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1.博士研究生依据人事档案、学籍变动等情况进行评定；硕士研究生依据研究生录取类型和研究生入学考试成绩排序评定。</w:t>
      </w:r>
    </w:p>
    <w:p w14:paraId="34FD4710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2.硕士研究生学业奖学金排序原则：从先到后依次为推免生、第一志愿录取学生、院内调剂录取学生、院系调剂录取学生、学校调剂录取学生，同档次学生按照推免排名和研究生入学考试分数高低排序，同档次同分数学生按照英语科目分数排序。</w:t>
      </w:r>
    </w:p>
    <w:p w14:paraId="739BF4C5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3.根据排名顺序和“四舍五入”的原则确定最终学业奖学金等级。</w:t>
      </w:r>
    </w:p>
    <w:p w14:paraId="410A201A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000000"/>
          <w:sz w:val="29"/>
          <w:szCs w:val="29"/>
        </w:rPr>
        <w:t>4.兼职辅导员和行政助理学业奖学金评定按照《中国石油大学（北京）关于“2+X”一专多能人才培养计划研究生奖助学金评定的暂行规定》执行。</w:t>
      </w:r>
    </w:p>
    <w:p w14:paraId="3C7E6D12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</w:p>
    <w:p w14:paraId="592B2D65">
      <w:pPr>
        <w:pStyle w:val="4"/>
        <w:shd w:val="clear" w:color="auto" w:fill="FFFFFF"/>
        <w:spacing w:before="0" w:beforeAutospacing="0" w:after="0" w:afterAutospacing="0" w:line="315" w:lineRule="atLeast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29"/>
          <w:szCs w:val="29"/>
        </w:rPr>
        <w:t>注：本办法最终解释权归</w:t>
      </w:r>
      <w:r>
        <w:rPr>
          <w:rFonts w:hint="eastAsia" w:ascii="仿宋_GB2312" w:hAnsi="微软雅黑" w:eastAsia="仿宋_GB2312"/>
          <w:color w:val="333333"/>
          <w:sz w:val="29"/>
          <w:szCs w:val="29"/>
          <w:lang w:val="en-US" w:eastAsia="zh-CN"/>
        </w:rPr>
        <w:t>材料科学与工程</w:t>
      </w:r>
      <w:r>
        <w:rPr>
          <w:rFonts w:hint="eastAsia" w:ascii="仿宋_GB2312" w:hAnsi="微软雅黑" w:eastAsia="仿宋_GB2312"/>
          <w:color w:val="333333"/>
          <w:sz w:val="29"/>
          <w:szCs w:val="29"/>
        </w:rPr>
        <w:t>学院所有。</w:t>
      </w:r>
    </w:p>
    <w:p w14:paraId="68795E12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rPr>
          <w:rFonts w:hint="eastAsia" w:ascii="微软雅黑" w:hAnsi="微软雅黑" w:eastAsia="微软雅黑"/>
          <w:color w:val="333333"/>
          <w:sz w:val="21"/>
          <w:szCs w:val="21"/>
        </w:rPr>
      </w:pPr>
    </w:p>
    <w:p w14:paraId="131AC557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jc w:val="right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29"/>
          <w:szCs w:val="29"/>
          <w:lang w:val="en-US" w:eastAsia="zh-CN"/>
        </w:rPr>
        <w:t>材料科学与工程</w:t>
      </w:r>
      <w:r>
        <w:rPr>
          <w:rFonts w:hint="eastAsia" w:ascii="仿宋_GB2312" w:hAnsi="微软雅黑" w:eastAsia="仿宋_GB2312"/>
          <w:color w:val="333333"/>
          <w:sz w:val="29"/>
          <w:szCs w:val="29"/>
        </w:rPr>
        <w:t>学院</w:t>
      </w:r>
    </w:p>
    <w:p w14:paraId="05114432">
      <w:pPr>
        <w:pStyle w:val="4"/>
        <w:shd w:val="clear" w:color="auto" w:fill="FFFFFF"/>
        <w:spacing w:before="0" w:beforeAutospacing="0" w:after="0" w:afterAutospacing="0" w:line="315" w:lineRule="atLeast"/>
        <w:ind w:firstLine="555"/>
        <w:jc w:val="right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仿宋_GB2312" w:hAnsi="微软雅黑" w:eastAsia="仿宋_GB2312"/>
          <w:color w:val="333333"/>
          <w:sz w:val="29"/>
          <w:szCs w:val="29"/>
        </w:rPr>
        <w:t>202</w:t>
      </w:r>
      <w:r>
        <w:rPr>
          <w:rFonts w:hint="eastAsia" w:ascii="仿宋_GB2312" w:hAnsi="微软雅黑" w:eastAsia="仿宋_GB2312"/>
          <w:color w:val="333333"/>
          <w:sz w:val="29"/>
          <w:szCs w:val="29"/>
          <w:lang w:val="en-US" w:eastAsia="zh-CN"/>
        </w:rPr>
        <w:t>6</w:t>
      </w:r>
      <w:r>
        <w:rPr>
          <w:rFonts w:hint="eastAsia" w:ascii="仿宋_GB2312" w:hAnsi="微软雅黑" w:eastAsia="仿宋_GB2312"/>
          <w:color w:val="333333"/>
          <w:sz w:val="29"/>
          <w:szCs w:val="29"/>
        </w:rPr>
        <w:t>年</w:t>
      </w:r>
      <w:r>
        <w:rPr>
          <w:rFonts w:hint="eastAsia" w:ascii="仿宋_GB2312" w:hAnsi="微软雅黑" w:eastAsia="仿宋_GB2312"/>
          <w:color w:val="333333"/>
          <w:sz w:val="29"/>
          <w:szCs w:val="29"/>
          <w:lang w:val="en-US" w:eastAsia="zh-CN"/>
        </w:rPr>
        <w:t>9</w:t>
      </w:r>
      <w:r>
        <w:rPr>
          <w:rFonts w:hint="eastAsia" w:ascii="仿宋_GB2312" w:hAnsi="微软雅黑" w:eastAsia="仿宋_GB2312"/>
          <w:color w:val="333333"/>
          <w:sz w:val="29"/>
          <w:szCs w:val="29"/>
        </w:rPr>
        <w:t>月28日</w:t>
      </w:r>
    </w:p>
    <w:p w14:paraId="3A6D52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F8DA043-AA85-4696-917C-21236B8E89E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0561C7E1-835B-4011-9B61-AEF82599D3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8C725306-A9F6-49BA-91B1-9A5A92DF4C09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DB7362B7-3D39-4A62-8F8B-57BBD654FE9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B88FBBA-A73D-49AA-82DA-55F377CE253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E204C539-7CCF-4EEB-B278-381235A95AC8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766D07F9-EA45-4A0F-A694-B205D5AA33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C5"/>
    <w:rsid w:val="000D0EC5"/>
    <w:rsid w:val="00C348DC"/>
    <w:rsid w:val="00D8594C"/>
    <w:rsid w:val="00FE70D2"/>
    <w:rsid w:val="011F080C"/>
    <w:rsid w:val="6E3C4D68"/>
    <w:rsid w:val="7E7E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744</Words>
  <Characters>793</Characters>
  <Lines>5</Lines>
  <Paragraphs>1</Paragraphs>
  <TotalTime>12</TotalTime>
  <ScaleCrop>false</ScaleCrop>
  <LinksUpToDate>false</LinksUpToDate>
  <CharactersWithSpaces>793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2023-10-24T03:37:00Z</dcterms:created>
  <dc:creator>qw</dc:creator>
  <cp:lastModifiedBy>牧风</cp:lastModifiedBy>
  <dcterms:modified xsi:type="dcterms:W3CDTF">2026-09-28T09:37:55Z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eyJoZGlkIjoiNTU2NTVlYTk3MWRiYjIxOWYzNGIyMGI5ZDRkOGQ0YzIiLCJ1c2VySWQiOiI5MTUzODkzNzQifQ==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E208647F5A914149ABD5673414D8F6E1_13</vt:lpwstr>
  </property>
</Properties>
</file>