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86A1" w14:textId="77777777" w:rsidR="007A7D2C" w:rsidRPr="003832DD" w:rsidRDefault="007A7D2C" w:rsidP="007A7D2C">
      <w:pPr>
        <w:jc w:val="center"/>
        <w:rPr>
          <w:rFonts w:ascii="黑体" w:eastAsia="黑体" w:hAnsi="黑体"/>
          <w:spacing w:val="20"/>
          <w:sz w:val="32"/>
          <w:szCs w:val="32"/>
        </w:rPr>
      </w:pPr>
      <w:r w:rsidRPr="003832DD"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14:paraId="36BDA2C9" w14:textId="77777777" w:rsidR="007A7D2C" w:rsidRPr="007A73F6" w:rsidRDefault="007A7D2C" w:rsidP="007A7D2C">
      <w:pPr>
        <w:rPr>
          <w:rFonts w:ascii="微软雅黑" w:eastAsia="微软雅黑" w:hAnsi="微软雅黑"/>
          <w:b/>
          <w:sz w:val="20"/>
          <w:szCs w:val="20"/>
        </w:rPr>
      </w:pPr>
      <w:r w:rsidRPr="007A73F6">
        <w:rPr>
          <w:rFonts w:ascii="微软雅黑" w:eastAsia="微软雅黑" w:hAnsi="微软雅黑" w:hint="eastAsia"/>
          <w:b/>
          <w:sz w:val="20"/>
          <w:szCs w:val="20"/>
        </w:rPr>
        <w:t>人员类别：</w:t>
      </w:r>
      <w:r w:rsidR="007A73F6" w:rsidRPr="007A73F6">
        <w:rPr>
          <w:rFonts w:ascii="微软雅黑" w:eastAsia="微软雅黑" w:hAnsi="微软雅黑" w:hint="eastAsia"/>
          <w:b/>
          <w:sz w:val="20"/>
          <w:szCs w:val="20"/>
        </w:rPr>
        <w:t>调入人员、博士后</w:t>
      </w:r>
      <w:r w:rsidR="00221D43">
        <w:rPr>
          <w:rFonts w:ascii="微软雅黑" w:eastAsia="微软雅黑" w:hAnsi="微软雅黑" w:hint="eastAsia"/>
          <w:b/>
          <w:sz w:val="20"/>
          <w:szCs w:val="20"/>
        </w:rPr>
        <w:t>、留学归国人员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230"/>
        <w:gridCol w:w="1397"/>
        <w:gridCol w:w="675"/>
        <w:gridCol w:w="1476"/>
        <w:gridCol w:w="1054"/>
        <w:gridCol w:w="623"/>
        <w:gridCol w:w="1060"/>
        <w:gridCol w:w="1605"/>
      </w:tblGrid>
      <w:tr w:rsidR="007A7D2C" w:rsidRPr="009671A3" w14:paraId="07B2145E" w14:textId="77777777" w:rsidTr="002D69D2">
        <w:trPr>
          <w:trHeight w:hRule="exact" w:val="454"/>
          <w:jc w:val="center"/>
        </w:trPr>
        <w:tc>
          <w:tcPr>
            <w:tcW w:w="1433" w:type="dxa"/>
            <w:gridSpan w:val="2"/>
            <w:vAlign w:val="center"/>
          </w:tcPr>
          <w:p w14:paraId="241AB9C2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397" w:type="dxa"/>
            <w:vAlign w:val="center"/>
          </w:tcPr>
          <w:p w14:paraId="30551EEB" w14:textId="77777777" w:rsidR="007A7D2C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周德键</w:t>
            </w:r>
          </w:p>
        </w:tc>
        <w:tc>
          <w:tcPr>
            <w:tcW w:w="675" w:type="dxa"/>
            <w:vAlign w:val="center"/>
          </w:tcPr>
          <w:p w14:paraId="4C8FF63C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76" w:type="dxa"/>
            <w:vAlign w:val="center"/>
          </w:tcPr>
          <w:p w14:paraId="49E645F8" w14:textId="77777777" w:rsidR="007A7D2C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男</w:t>
            </w:r>
          </w:p>
        </w:tc>
        <w:tc>
          <w:tcPr>
            <w:tcW w:w="1054" w:type="dxa"/>
            <w:vAlign w:val="center"/>
          </w:tcPr>
          <w:p w14:paraId="221723B2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83" w:type="dxa"/>
            <w:gridSpan w:val="2"/>
            <w:vAlign w:val="center"/>
          </w:tcPr>
          <w:p w14:paraId="6CC12D04" w14:textId="77777777" w:rsidR="007A7D2C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993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年4月1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605" w:type="dxa"/>
            <w:vMerge w:val="restart"/>
            <w:vAlign w:val="center"/>
          </w:tcPr>
          <w:p w14:paraId="49E8EBFD" w14:textId="1ECCC25B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7A7D2C" w:rsidRPr="009671A3" w14:paraId="217845FE" w14:textId="77777777" w:rsidTr="002D69D2">
        <w:trPr>
          <w:trHeight w:hRule="exact" w:val="454"/>
          <w:jc w:val="center"/>
        </w:trPr>
        <w:tc>
          <w:tcPr>
            <w:tcW w:w="1433" w:type="dxa"/>
            <w:gridSpan w:val="2"/>
            <w:vAlign w:val="center"/>
          </w:tcPr>
          <w:p w14:paraId="55C40A40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397" w:type="dxa"/>
            <w:vAlign w:val="center"/>
          </w:tcPr>
          <w:p w14:paraId="5CCA2A9D" w14:textId="77777777" w:rsidR="007A7D2C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汉</w:t>
            </w:r>
          </w:p>
        </w:tc>
        <w:tc>
          <w:tcPr>
            <w:tcW w:w="675" w:type="dxa"/>
            <w:vAlign w:val="center"/>
          </w:tcPr>
          <w:p w14:paraId="52D1C26B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76" w:type="dxa"/>
            <w:vAlign w:val="center"/>
          </w:tcPr>
          <w:p w14:paraId="541C669A" w14:textId="77777777" w:rsidR="007A7D2C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安徽合肥</w:t>
            </w:r>
          </w:p>
        </w:tc>
        <w:tc>
          <w:tcPr>
            <w:tcW w:w="1054" w:type="dxa"/>
            <w:vAlign w:val="center"/>
          </w:tcPr>
          <w:p w14:paraId="6098F2B7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683" w:type="dxa"/>
            <w:gridSpan w:val="2"/>
            <w:vAlign w:val="center"/>
          </w:tcPr>
          <w:p w14:paraId="66A44F56" w14:textId="77777777" w:rsidR="007A7D2C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群众</w:t>
            </w:r>
          </w:p>
        </w:tc>
        <w:tc>
          <w:tcPr>
            <w:tcW w:w="1605" w:type="dxa"/>
            <w:vMerge/>
            <w:vAlign w:val="center"/>
          </w:tcPr>
          <w:p w14:paraId="488495EB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673FC8" w:rsidRPr="009671A3" w14:paraId="351BC68D" w14:textId="77777777" w:rsidTr="002D69D2">
        <w:trPr>
          <w:trHeight w:hRule="exact" w:val="567"/>
          <w:jc w:val="center"/>
        </w:trPr>
        <w:tc>
          <w:tcPr>
            <w:tcW w:w="1433" w:type="dxa"/>
            <w:gridSpan w:val="2"/>
            <w:vAlign w:val="center"/>
          </w:tcPr>
          <w:p w14:paraId="1E21F126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397" w:type="dxa"/>
            <w:vAlign w:val="center"/>
          </w:tcPr>
          <w:p w14:paraId="172D0A69" w14:textId="421BD8A3" w:rsidR="00673FC8" w:rsidRPr="006561B4" w:rsidRDefault="00617836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研究生/</w:t>
            </w:r>
            <w:r w:rsidR="002C07F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博士</w:t>
            </w:r>
          </w:p>
        </w:tc>
        <w:tc>
          <w:tcPr>
            <w:tcW w:w="675" w:type="dxa"/>
            <w:vAlign w:val="center"/>
          </w:tcPr>
          <w:p w14:paraId="35F51C30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476" w:type="dxa"/>
            <w:vAlign w:val="center"/>
          </w:tcPr>
          <w:p w14:paraId="17472034" w14:textId="77777777" w:rsidR="00673FC8" w:rsidRPr="006561B4" w:rsidRDefault="002C07F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022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1054" w:type="dxa"/>
            <w:vAlign w:val="center"/>
          </w:tcPr>
          <w:p w14:paraId="1EAB184D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14:paraId="24CFF84C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683" w:type="dxa"/>
            <w:gridSpan w:val="2"/>
            <w:vAlign w:val="center"/>
          </w:tcPr>
          <w:p w14:paraId="59754989" w14:textId="2C0D8B93" w:rsidR="00673FC8" w:rsidRPr="006561B4" w:rsidRDefault="00617836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无</w:t>
            </w:r>
          </w:p>
        </w:tc>
        <w:tc>
          <w:tcPr>
            <w:tcW w:w="1605" w:type="dxa"/>
            <w:vMerge/>
            <w:vAlign w:val="center"/>
          </w:tcPr>
          <w:p w14:paraId="0392E304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D4360" w:rsidRPr="009671A3" w14:paraId="0C1B21FE" w14:textId="77777777" w:rsidTr="00ED10A8">
        <w:trPr>
          <w:trHeight w:hRule="exact" w:val="454"/>
          <w:jc w:val="center"/>
        </w:trPr>
        <w:tc>
          <w:tcPr>
            <w:tcW w:w="1433" w:type="dxa"/>
            <w:gridSpan w:val="2"/>
            <w:vAlign w:val="center"/>
          </w:tcPr>
          <w:p w14:paraId="0CE6EF45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1275F154" w14:textId="77777777" w:rsidR="002D4360" w:rsidRPr="006561B4" w:rsidRDefault="002C07F5" w:rsidP="006561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哥廷根大学（德国）</w:t>
            </w:r>
          </w:p>
        </w:tc>
        <w:tc>
          <w:tcPr>
            <w:tcW w:w="1476" w:type="dxa"/>
            <w:vAlign w:val="center"/>
          </w:tcPr>
          <w:p w14:paraId="51B7CD06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677" w:type="dxa"/>
            <w:gridSpan w:val="2"/>
            <w:vAlign w:val="center"/>
          </w:tcPr>
          <w:p w14:paraId="13415126" w14:textId="77777777" w:rsidR="002D4360" w:rsidRPr="006561B4" w:rsidRDefault="002C07F5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地理科学</w:t>
            </w:r>
          </w:p>
        </w:tc>
        <w:tc>
          <w:tcPr>
            <w:tcW w:w="1060" w:type="dxa"/>
            <w:vAlign w:val="center"/>
          </w:tcPr>
          <w:p w14:paraId="4BD2DCD8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605" w:type="dxa"/>
            <w:vAlign w:val="center"/>
          </w:tcPr>
          <w:p w14:paraId="736F3397" w14:textId="19F75C7E" w:rsidR="002D4360" w:rsidRPr="006561B4" w:rsidRDefault="00617836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安徽省合肥市</w:t>
            </w:r>
          </w:p>
        </w:tc>
      </w:tr>
      <w:tr w:rsidR="002D4360" w:rsidRPr="009671A3" w14:paraId="3DCE1C38" w14:textId="77777777" w:rsidTr="002D69D2">
        <w:trPr>
          <w:trHeight w:hRule="exact" w:val="454"/>
          <w:jc w:val="center"/>
        </w:trPr>
        <w:tc>
          <w:tcPr>
            <w:tcW w:w="1203" w:type="dxa"/>
            <w:vMerge w:val="restart"/>
            <w:vAlign w:val="center"/>
          </w:tcPr>
          <w:p w14:paraId="4F110B27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14:paraId="5BE5C888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27" w:type="dxa"/>
            <w:gridSpan w:val="2"/>
            <w:vAlign w:val="center"/>
          </w:tcPr>
          <w:p w14:paraId="194B02CB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 w14:paraId="6DB6E31C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737" w:type="dxa"/>
            <w:gridSpan w:val="3"/>
            <w:vAlign w:val="center"/>
          </w:tcPr>
          <w:p w14:paraId="1C33A04F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605" w:type="dxa"/>
            <w:vAlign w:val="center"/>
          </w:tcPr>
          <w:p w14:paraId="0399C959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  <w:bookmarkStart w:id="0" w:name="_GoBack"/>
        <w:bookmarkEnd w:id="0"/>
      </w:tr>
      <w:tr w:rsidR="002D4360" w:rsidRPr="009671A3" w14:paraId="5608061B" w14:textId="77777777" w:rsidTr="002D69D2">
        <w:trPr>
          <w:trHeight w:hRule="exact" w:val="454"/>
          <w:jc w:val="center"/>
        </w:trPr>
        <w:tc>
          <w:tcPr>
            <w:tcW w:w="1203" w:type="dxa"/>
            <w:vMerge/>
            <w:vAlign w:val="center"/>
          </w:tcPr>
          <w:p w14:paraId="271D75B9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03A0AD5" w14:textId="77777777" w:rsidR="002D4360" w:rsidRPr="002C07F5" w:rsidRDefault="002C07F5" w:rsidP="006561B4">
            <w:pPr>
              <w:rPr>
                <w:rFonts w:ascii="宋体" w:hAnsi="宋体"/>
                <w:sz w:val="18"/>
                <w:szCs w:val="18"/>
              </w:rPr>
            </w:pPr>
            <w:r w:rsidRPr="002C07F5">
              <w:rPr>
                <w:rFonts w:ascii="宋体" w:hAnsi="宋体" w:hint="eastAsia"/>
                <w:sz w:val="18"/>
                <w:szCs w:val="18"/>
              </w:rPr>
              <w:t>2</w:t>
            </w:r>
            <w:r w:rsidRPr="002C07F5">
              <w:rPr>
                <w:rFonts w:ascii="宋体" w:hAnsi="宋体"/>
                <w:sz w:val="18"/>
                <w:szCs w:val="18"/>
              </w:rPr>
              <w:t>011.09-2015.06</w:t>
            </w:r>
          </w:p>
        </w:tc>
        <w:tc>
          <w:tcPr>
            <w:tcW w:w="2151" w:type="dxa"/>
            <w:gridSpan w:val="2"/>
            <w:vAlign w:val="center"/>
          </w:tcPr>
          <w:p w14:paraId="3DBE51F0" w14:textId="7C1940D6" w:rsidR="002D4360" w:rsidRPr="002C07F5" w:rsidRDefault="002C07F5" w:rsidP="006561B4">
            <w:pPr>
              <w:rPr>
                <w:rFonts w:ascii="宋体" w:hAnsi="宋体"/>
                <w:sz w:val="18"/>
                <w:szCs w:val="18"/>
              </w:rPr>
            </w:pPr>
            <w:r w:rsidRPr="002C07F5">
              <w:rPr>
                <w:rFonts w:ascii="宋体" w:hAnsi="宋体" w:hint="eastAsia"/>
                <w:sz w:val="18"/>
                <w:szCs w:val="18"/>
              </w:rPr>
              <w:t>本科</w:t>
            </w:r>
            <w:r w:rsidR="0076761E">
              <w:rPr>
                <w:rFonts w:ascii="宋体" w:hAnsi="宋体" w:hint="eastAsia"/>
                <w:sz w:val="18"/>
                <w:szCs w:val="18"/>
              </w:rPr>
              <w:t>/学士</w:t>
            </w:r>
          </w:p>
        </w:tc>
        <w:tc>
          <w:tcPr>
            <w:tcW w:w="2737" w:type="dxa"/>
            <w:gridSpan w:val="3"/>
            <w:vAlign w:val="center"/>
          </w:tcPr>
          <w:p w14:paraId="495A45BE" w14:textId="77C45EB1" w:rsidR="002D4360" w:rsidRPr="002C07F5" w:rsidRDefault="002C07F5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C07F5">
              <w:rPr>
                <w:rFonts w:ascii="宋体" w:hAnsi="宋体" w:hint="eastAsia"/>
                <w:sz w:val="18"/>
                <w:szCs w:val="18"/>
              </w:rPr>
              <w:t>武汉大学</w:t>
            </w:r>
            <w:r w:rsidR="00EB0E68">
              <w:rPr>
                <w:rFonts w:ascii="宋体" w:hAnsi="宋体" w:hint="eastAsia"/>
                <w:sz w:val="18"/>
                <w:szCs w:val="18"/>
              </w:rPr>
              <w:t>，环境工程</w:t>
            </w:r>
          </w:p>
        </w:tc>
        <w:tc>
          <w:tcPr>
            <w:tcW w:w="1605" w:type="dxa"/>
            <w:vAlign w:val="center"/>
          </w:tcPr>
          <w:p w14:paraId="273276E5" w14:textId="77777777" w:rsidR="002D4360" w:rsidRPr="006561B4" w:rsidRDefault="002D4360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2D4360" w14:paraId="6AF12413" w14:textId="77777777" w:rsidTr="00841CF6">
        <w:trPr>
          <w:trHeight w:hRule="exact" w:val="658"/>
          <w:jc w:val="center"/>
        </w:trPr>
        <w:tc>
          <w:tcPr>
            <w:tcW w:w="1203" w:type="dxa"/>
            <w:vMerge/>
            <w:vAlign w:val="center"/>
          </w:tcPr>
          <w:p w14:paraId="0CDF2EA0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90C6A6B" w14:textId="77777777" w:rsidR="002D4360" w:rsidRPr="006561B4" w:rsidRDefault="002C07F5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015.10-2018.09</w:t>
            </w:r>
          </w:p>
        </w:tc>
        <w:tc>
          <w:tcPr>
            <w:tcW w:w="2151" w:type="dxa"/>
            <w:gridSpan w:val="2"/>
            <w:vAlign w:val="center"/>
          </w:tcPr>
          <w:p w14:paraId="1C5B70DA" w14:textId="04B430D8" w:rsidR="002D4360" w:rsidRPr="006561B4" w:rsidRDefault="00D964B1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研究生/</w:t>
            </w:r>
            <w:r w:rsidR="002C07F5">
              <w:rPr>
                <w:rFonts w:ascii="宋体" w:hAnsi="宋体" w:hint="eastAsia"/>
                <w:sz w:val="18"/>
                <w:szCs w:val="18"/>
              </w:rPr>
              <w:t>硕士</w:t>
            </w:r>
          </w:p>
        </w:tc>
        <w:tc>
          <w:tcPr>
            <w:tcW w:w="2737" w:type="dxa"/>
            <w:gridSpan w:val="3"/>
            <w:vAlign w:val="center"/>
          </w:tcPr>
          <w:p w14:paraId="6BD5CE4E" w14:textId="77777777" w:rsidR="00841CF6" w:rsidRDefault="002C07F5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哥廷根大学（德国）</w:t>
            </w:r>
            <w:r w:rsidR="00EB0E68">
              <w:rPr>
                <w:rFonts w:ascii="宋体" w:hAnsi="宋体" w:hint="eastAsia"/>
                <w:sz w:val="18"/>
                <w:szCs w:val="18"/>
              </w:rPr>
              <w:t>，</w:t>
            </w:r>
          </w:p>
          <w:p w14:paraId="7B0516D6" w14:textId="462A9CFF" w:rsidR="002D4360" w:rsidRPr="006561B4" w:rsidRDefault="00EB0E68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水文地质与环境地理</w:t>
            </w:r>
          </w:p>
        </w:tc>
        <w:tc>
          <w:tcPr>
            <w:tcW w:w="1605" w:type="dxa"/>
            <w:vAlign w:val="center"/>
          </w:tcPr>
          <w:p w14:paraId="0D4A0010" w14:textId="77777777" w:rsidR="002D4360" w:rsidRPr="006561B4" w:rsidRDefault="002C07F5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Alexandru</w:t>
            </w:r>
            <w:r>
              <w:rPr>
                <w:rFonts w:ascii="宋体" w:hAnsi="宋体"/>
                <w:sz w:val="18"/>
                <w:szCs w:val="18"/>
              </w:rPr>
              <w:t xml:space="preserve"> T</w:t>
            </w:r>
            <w:r>
              <w:rPr>
                <w:rFonts w:ascii="宋体" w:hAnsi="宋体" w:hint="eastAsia"/>
                <w:sz w:val="18"/>
                <w:szCs w:val="18"/>
              </w:rPr>
              <w:t>atomir</w:t>
            </w:r>
          </w:p>
        </w:tc>
      </w:tr>
      <w:tr w:rsidR="002D4360" w14:paraId="664D4552" w14:textId="77777777" w:rsidTr="002D69D2">
        <w:trPr>
          <w:trHeight w:hRule="exact" w:val="454"/>
          <w:jc w:val="center"/>
        </w:trPr>
        <w:tc>
          <w:tcPr>
            <w:tcW w:w="1203" w:type="dxa"/>
            <w:vMerge/>
            <w:vAlign w:val="center"/>
          </w:tcPr>
          <w:p w14:paraId="4001EAEF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49E9A62" w14:textId="77777777" w:rsidR="002D4360" w:rsidRPr="006561B4" w:rsidRDefault="002C07F5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018.11-2022.07</w:t>
            </w:r>
          </w:p>
        </w:tc>
        <w:tc>
          <w:tcPr>
            <w:tcW w:w="2151" w:type="dxa"/>
            <w:gridSpan w:val="2"/>
            <w:vAlign w:val="center"/>
          </w:tcPr>
          <w:p w14:paraId="739566FB" w14:textId="722D6EC7" w:rsidR="002D4360" w:rsidRPr="006561B4" w:rsidRDefault="00D964B1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研究生/</w:t>
            </w:r>
            <w:r w:rsidR="002C07F5">
              <w:rPr>
                <w:rFonts w:ascii="宋体" w:hAnsi="宋体" w:hint="eastAsia"/>
                <w:sz w:val="18"/>
                <w:szCs w:val="18"/>
              </w:rPr>
              <w:t>博士</w:t>
            </w:r>
          </w:p>
        </w:tc>
        <w:tc>
          <w:tcPr>
            <w:tcW w:w="2737" w:type="dxa"/>
            <w:gridSpan w:val="3"/>
            <w:vAlign w:val="center"/>
          </w:tcPr>
          <w:p w14:paraId="459CB307" w14:textId="1DD6C813" w:rsidR="002D4360" w:rsidRPr="006561B4" w:rsidRDefault="002C07F5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哥廷根大学（德国）</w:t>
            </w:r>
            <w:r w:rsidR="00EB0E68">
              <w:rPr>
                <w:rFonts w:ascii="宋体" w:hAnsi="宋体" w:hint="eastAsia"/>
                <w:sz w:val="18"/>
                <w:szCs w:val="18"/>
              </w:rPr>
              <w:t>，地球科学</w:t>
            </w:r>
          </w:p>
        </w:tc>
        <w:tc>
          <w:tcPr>
            <w:tcW w:w="1605" w:type="dxa"/>
            <w:vAlign w:val="center"/>
          </w:tcPr>
          <w:p w14:paraId="278CF986" w14:textId="77777777" w:rsidR="002D4360" w:rsidRPr="006561B4" w:rsidRDefault="002C07F5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Martin</w:t>
            </w:r>
            <w:r>
              <w:rPr>
                <w:rFonts w:ascii="宋体" w:hAnsi="宋体"/>
                <w:sz w:val="18"/>
                <w:szCs w:val="18"/>
              </w:rPr>
              <w:t xml:space="preserve"> S</w:t>
            </w:r>
            <w:r>
              <w:rPr>
                <w:rFonts w:ascii="宋体" w:hAnsi="宋体" w:hint="eastAsia"/>
                <w:sz w:val="18"/>
                <w:szCs w:val="18"/>
              </w:rPr>
              <w:t>auter</w:t>
            </w:r>
          </w:p>
        </w:tc>
      </w:tr>
      <w:tr w:rsidR="007A7D2C" w14:paraId="78AC51FC" w14:textId="77777777" w:rsidTr="002D69D2">
        <w:trPr>
          <w:trHeight w:hRule="exact" w:val="454"/>
          <w:jc w:val="center"/>
        </w:trPr>
        <w:tc>
          <w:tcPr>
            <w:tcW w:w="1203" w:type="dxa"/>
            <w:vMerge w:val="restart"/>
            <w:vAlign w:val="center"/>
          </w:tcPr>
          <w:p w14:paraId="3D694B1B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14:paraId="0B732F5E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27" w:type="dxa"/>
            <w:gridSpan w:val="2"/>
            <w:vAlign w:val="center"/>
          </w:tcPr>
          <w:p w14:paraId="5CECD37B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 w14:paraId="047A0794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4342" w:type="dxa"/>
            <w:gridSpan w:val="4"/>
            <w:vAlign w:val="center"/>
          </w:tcPr>
          <w:p w14:paraId="58816FD6" w14:textId="77777777" w:rsidR="007A7D2C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 w:rsidRPr="006561B4"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 w:rsidR="007A7D2C"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7A7D2C" w14:paraId="33CF51EB" w14:textId="77777777" w:rsidTr="002D69D2">
        <w:trPr>
          <w:trHeight w:hRule="exact" w:val="454"/>
          <w:jc w:val="center"/>
        </w:trPr>
        <w:tc>
          <w:tcPr>
            <w:tcW w:w="1203" w:type="dxa"/>
            <w:vMerge/>
            <w:vAlign w:val="center"/>
          </w:tcPr>
          <w:p w14:paraId="05D22A4F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AADD29E" w14:textId="77777777" w:rsidR="007A7D2C" w:rsidRPr="006561B4" w:rsidRDefault="00580F28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022.08-2024.12</w:t>
            </w:r>
          </w:p>
        </w:tc>
        <w:tc>
          <w:tcPr>
            <w:tcW w:w="2151" w:type="dxa"/>
            <w:gridSpan w:val="2"/>
            <w:vAlign w:val="center"/>
          </w:tcPr>
          <w:p w14:paraId="2975E0E6" w14:textId="77777777" w:rsidR="007A7D2C" w:rsidRPr="006561B4" w:rsidRDefault="00580F28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哥廷根大学</w:t>
            </w:r>
          </w:p>
        </w:tc>
        <w:tc>
          <w:tcPr>
            <w:tcW w:w="4342" w:type="dxa"/>
            <w:gridSpan w:val="4"/>
            <w:vAlign w:val="center"/>
          </w:tcPr>
          <w:p w14:paraId="2A41A7CE" w14:textId="77777777" w:rsidR="007A7D2C" w:rsidRPr="006561B4" w:rsidRDefault="00580F28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博士后</w:t>
            </w:r>
          </w:p>
        </w:tc>
      </w:tr>
      <w:tr w:rsidR="007A7D2C" w14:paraId="47785757" w14:textId="77777777" w:rsidTr="00841CF6">
        <w:trPr>
          <w:trHeight w:hRule="exact" w:val="616"/>
          <w:jc w:val="center"/>
        </w:trPr>
        <w:tc>
          <w:tcPr>
            <w:tcW w:w="1203" w:type="dxa"/>
            <w:vMerge/>
            <w:vAlign w:val="center"/>
          </w:tcPr>
          <w:p w14:paraId="3386742C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823809E" w14:textId="77777777" w:rsidR="007A7D2C" w:rsidRPr="006561B4" w:rsidRDefault="00580F28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025.01-</w:t>
            </w:r>
            <w:r>
              <w:rPr>
                <w:rFonts w:ascii="宋体" w:hAnsi="宋体" w:hint="eastAsia"/>
                <w:sz w:val="18"/>
                <w:szCs w:val="18"/>
              </w:rPr>
              <w:t>至今</w:t>
            </w:r>
          </w:p>
        </w:tc>
        <w:tc>
          <w:tcPr>
            <w:tcW w:w="2151" w:type="dxa"/>
            <w:gridSpan w:val="2"/>
            <w:vAlign w:val="center"/>
          </w:tcPr>
          <w:p w14:paraId="150A15ED" w14:textId="77777777" w:rsidR="007A7D2C" w:rsidRPr="006561B4" w:rsidRDefault="00580F28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莱布尼茨应用地球物理研究所</w:t>
            </w:r>
          </w:p>
        </w:tc>
        <w:tc>
          <w:tcPr>
            <w:tcW w:w="4342" w:type="dxa"/>
            <w:gridSpan w:val="4"/>
            <w:vAlign w:val="center"/>
          </w:tcPr>
          <w:p w14:paraId="3EF7E77C" w14:textId="77777777" w:rsidR="007A7D2C" w:rsidRPr="006561B4" w:rsidRDefault="00580F28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助理研究员</w:t>
            </w:r>
          </w:p>
        </w:tc>
      </w:tr>
      <w:tr w:rsidR="007A7D2C" w14:paraId="75C5673A" w14:textId="77777777" w:rsidTr="002D69D2">
        <w:trPr>
          <w:trHeight w:hRule="exact" w:val="454"/>
          <w:jc w:val="center"/>
        </w:trPr>
        <w:tc>
          <w:tcPr>
            <w:tcW w:w="1203" w:type="dxa"/>
            <w:vMerge/>
            <w:vAlign w:val="center"/>
          </w:tcPr>
          <w:p w14:paraId="6EBB6F88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7B2A6D3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BB6AE38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2" w:type="dxa"/>
            <w:gridSpan w:val="4"/>
            <w:vAlign w:val="center"/>
          </w:tcPr>
          <w:p w14:paraId="7A464B58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A7D2C" w14:paraId="37E3FAF7" w14:textId="77777777" w:rsidTr="002D69D2">
        <w:trPr>
          <w:trHeight w:val="3430"/>
          <w:jc w:val="center"/>
        </w:trPr>
        <w:tc>
          <w:tcPr>
            <w:tcW w:w="1203" w:type="dxa"/>
            <w:vAlign w:val="center"/>
          </w:tcPr>
          <w:p w14:paraId="31160A71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14:paraId="359B59F5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120" w:type="dxa"/>
            <w:gridSpan w:val="8"/>
          </w:tcPr>
          <w:p w14:paraId="23D6DBBB" w14:textId="77777777" w:rsidR="007A7D2C" w:rsidRPr="00E23677" w:rsidRDefault="007A7D2C" w:rsidP="004432EE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2367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14:paraId="32421BA2" w14:textId="77777777" w:rsidR="00E23677" w:rsidRPr="00A4769D" w:rsidRDefault="00873094" w:rsidP="00E2367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4769D">
              <w:rPr>
                <w:rFonts w:ascii="宋体" w:hAnsi="宋体" w:hint="eastAsia"/>
                <w:b/>
                <w:bCs/>
                <w:sz w:val="18"/>
                <w:szCs w:val="18"/>
              </w:rPr>
              <w:t>发表论文（专著）：</w:t>
            </w:r>
          </w:p>
          <w:p w14:paraId="127A335F" w14:textId="53BF8D74" w:rsidR="00E23677" w:rsidRPr="00A4769D" w:rsidRDefault="00E23677" w:rsidP="00E23677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 xml:space="preserve">[1] </w:t>
            </w:r>
            <w:r w:rsidRPr="00A4769D">
              <w:rPr>
                <w:b/>
                <w:bCs/>
                <w:sz w:val="18"/>
                <w:szCs w:val="18"/>
              </w:rPr>
              <w:t>D. Zhou</w:t>
            </w:r>
            <w:r w:rsidRPr="00A4769D">
              <w:rPr>
                <w:rFonts w:hint="eastAsia"/>
                <w:sz w:val="18"/>
                <w:szCs w:val="18"/>
              </w:rPr>
              <w:t>*</w:t>
            </w:r>
            <w:r w:rsidRPr="00A4769D">
              <w:rPr>
                <w:sz w:val="18"/>
                <w:szCs w:val="18"/>
              </w:rPr>
              <w:t xml:space="preserve"> et al., ‘Well layout optimization of high-temperature aquifer thermal energy storage system subjected to ambient groundwater flow’, Journal of Hydrology, vol. 664, p. 134614, Jan. 2026, doi: 10.1016/j.jhydrol.2025.134614.</w:t>
            </w:r>
            <w:r w:rsidRPr="00A4769D">
              <w:rPr>
                <w:rFonts w:hint="eastAsia"/>
                <w:sz w:val="18"/>
                <w:szCs w:val="18"/>
              </w:rPr>
              <w:t xml:space="preserve"> </w:t>
            </w:r>
            <w:r w:rsidRPr="00A4769D">
              <w:rPr>
                <w:b/>
                <w:sz w:val="18"/>
                <w:szCs w:val="18"/>
              </w:rPr>
              <w:t xml:space="preserve">(IF </w:t>
            </w:r>
            <w:r w:rsidRPr="00A4769D">
              <w:rPr>
                <w:rFonts w:hint="eastAsia"/>
                <w:b/>
                <w:sz w:val="18"/>
                <w:szCs w:val="18"/>
              </w:rPr>
              <w:t>6.3</w:t>
            </w:r>
            <w:r w:rsidRPr="00A4769D">
              <w:rPr>
                <w:b/>
                <w:sz w:val="18"/>
                <w:szCs w:val="18"/>
              </w:rPr>
              <w:t xml:space="preserve">, </w:t>
            </w:r>
            <w:r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7511915C" w14:textId="31F7A30C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2</w:t>
            </w:r>
            <w:r w:rsidRPr="00A4769D">
              <w:rPr>
                <w:sz w:val="18"/>
                <w:szCs w:val="18"/>
              </w:rPr>
              <w:t xml:space="preserve">] </w:t>
            </w:r>
            <w:r w:rsidRPr="00A4769D">
              <w:rPr>
                <w:b/>
                <w:bCs/>
                <w:sz w:val="18"/>
                <w:szCs w:val="18"/>
              </w:rPr>
              <w:t>D. Zhou</w:t>
            </w:r>
            <w:r w:rsidRPr="00A4769D">
              <w:rPr>
                <w:sz w:val="18"/>
                <w:szCs w:val="18"/>
              </w:rPr>
              <w:t xml:space="preserve"> et al., ‘Injection strategy analysis of high-temperature aquifer thermal energy storage system, an insight from the study case in Burgwedel, Germany’, Renewable Energy, vol. 256, p. 124722, Jan. 2026, doi: 10.1016/j.renene.2025.124722.</w:t>
            </w:r>
            <w:r w:rsidRPr="00A4769D">
              <w:rPr>
                <w:rFonts w:hint="eastAsia"/>
                <w:sz w:val="18"/>
                <w:szCs w:val="18"/>
              </w:rPr>
              <w:t xml:space="preserve"> </w:t>
            </w:r>
            <w:r w:rsidRPr="00A4769D">
              <w:rPr>
                <w:b/>
                <w:sz w:val="18"/>
                <w:szCs w:val="18"/>
              </w:rPr>
              <w:t xml:space="preserve">(IF </w:t>
            </w:r>
            <w:r w:rsidRPr="00A4769D">
              <w:rPr>
                <w:rFonts w:hint="eastAsia"/>
                <w:b/>
                <w:sz w:val="18"/>
                <w:szCs w:val="18"/>
              </w:rPr>
              <w:t>9.4</w:t>
            </w:r>
            <w:r w:rsidRPr="00A4769D">
              <w:rPr>
                <w:b/>
                <w:sz w:val="18"/>
                <w:szCs w:val="18"/>
              </w:rPr>
              <w:t xml:space="preserve">, </w:t>
            </w:r>
            <w:r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3E026C0F" w14:textId="4E6B2A78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3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bCs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H. Gao, Q. Liu, and M. Sauter, ‘Thermo-sensitive tracer technology to monitor the movement of thermal front in geothermal energy production’, Energy Conversion and Management, vol. 341, p. 120056, Oct. 2025, doi: 10.1016/j.enconman.2025.120056. </w:t>
            </w:r>
            <w:r w:rsidRPr="00A4769D">
              <w:rPr>
                <w:b/>
                <w:sz w:val="18"/>
                <w:szCs w:val="18"/>
              </w:rPr>
              <w:t xml:space="preserve">(IF 10.9, </w:t>
            </w:r>
            <w:r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7DF85C2E" w14:textId="34FB6104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4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H. Gao, K. Li, L. Ganzer, G. Brenne, P. Jaeger, M. Sauter, “Analysis of high-temperature aquifer thermal energy storage system performances with heterogeneous permeability distribution, insights from a case study in </w:t>
            </w:r>
            <w:proofErr w:type="spellStart"/>
            <w:r w:rsidRPr="00A4769D">
              <w:rPr>
                <w:sz w:val="18"/>
                <w:szCs w:val="18"/>
              </w:rPr>
              <w:t>burgwedel</w:t>
            </w:r>
            <w:proofErr w:type="spellEnd"/>
            <w:r w:rsidRPr="00A4769D">
              <w:rPr>
                <w:sz w:val="18"/>
                <w:szCs w:val="18"/>
              </w:rPr>
              <w:t xml:space="preserve">, </w:t>
            </w:r>
            <w:proofErr w:type="spellStart"/>
            <w:r w:rsidRPr="00A4769D">
              <w:rPr>
                <w:sz w:val="18"/>
                <w:szCs w:val="18"/>
              </w:rPr>
              <w:t>germany</w:t>
            </w:r>
            <w:proofErr w:type="spellEnd"/>
            <w:r w:rsidRPr="00A4769D">
              <w:rPr>
                <w:sz w:val="18"/>
                <w:szCs w:val="18"/>
              </w:rPr>
              <w:t xml:space="preserve">,” </w:t>
            </w:r>
            <w:r w:rsidRPr="00A4769D">
              <w:rPr>
                <w:i/>
                <w:iCs/>
                <w:sz w:val="18"/>
                <w:szCs w:val="18"/>
              </w:rPr>
              <w:t>J. Energy Storage</w:t>
            </w:r>
            <w:r w:rsidRPr="00A4769D">
              <w:rPr>
                <w:sz w:val="18"/>
                <w:szCs w:val="18"/>
              </w:rPr>
              <w:t xml:space="preserve">, vol. 120, p. 116467, Jun. 2025, doi: 10.1016/j.est.2025.116467. </w:t>
            </w:r>
            <w:r w:rsidRPr="00A4769D">
              <w:rPr>
                <w:b/>
                <w:sz w:val="18"/>
                <w:szCs w:val="18"/>
              </w:rPr>
              <w:t xml:space="preserve">(IF 8.9, </w:t>
            </w:r>
            <w:r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3BF53DA8" w14:textId="1DD8A42B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5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</w:t>
            </w:r>
            <w:r w:rsidRPr="00A4769D">
              <w:rPr>
                <w:sz w:val="18"/>
                <w:szCs w:val="18"/>
              </w:rPr>
              <w:t xml:space="preserve">, K. Li*, H. Gao, A. Tatomir, M. Sauter, and L. Ganzer, “Techno-economic assessment of high-temperature aquifer thermal energy storage system, insights from a study case in Burgwedel, Germany,” </w:t>
            </w:r>
            <w:r w:rsidRPr="00A4769D">
              <w:rPr>
                <w:i/>
                <w:iCs/>
                <w:sz w:val="18"/>
                <w:szCs w:val="18"/>
              </w:rPr>
              <w:t>Appl. Energy</w:t>
            </w:r>
            <w:r w:rsidRPr="00A4769D">
              <w:rPr>
                <w:sz w:val="18"/>
                <w:szCs w:val="18"/>
              </w:rPr>
              <w:t xml:space="preserve">, vol. 372, p. 123783, Oct. 2024, doi: 10.1016/j.apenergy.2024.123783. </w:t>
            </w:r>
            <w:r w:rsidRPr="00A4769D">
              <w:rPr>
                <w:b/>
                <w:sz w:val="18"/>
                <w:szCs w:val="18"/>
              </w:rPr>
              <w:t xml:space="preserve">(IF 10.1, </w:t>
            </w:r>
            <w:r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4A4B3411" w14:textId="1A91C6C9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6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</w:t>
            </w:r>
            <w:r w:rsidRPr="00A4769D">
              <w:rPr>
                <w:sz w:val="18"/>
                <w:szCs w:val="18"/>
              </w:rPr>
              <w:t xml:space="preserve">, A. Tatomir, Q. Liu, K. Li, H. Gao*, and M. Sauter, “Effects of thermoelasticity induced aperture variation on performances of Enhanced geothermal system,” </w:t>
            </w:r>
            <w:r w:rsidRPr="00A4769D">
              <w:rPr>
                <w:i/>
                <w:iCs/>
                <w:sz w:val="18"/>
                <w:szCs w:val="18"/>
              </w:rPr>
              <w:t>Appl. Therm. Eng.</w:t>
            </w:r>
            <w:r w:rsidRPr="00A4769D">
              <w:rPr>
                <w:sz w:val="18"/>
                <w:szCs w:val="18"/>
              </w:rPr>
              <w:t xml:space="preserve">, vol. 248, p. 123308, Jul. 2024, doi: 10.1016/j.applthermaleng.2024.123308. </w:t>
            </w:r>
            <w:r w:rsidRPr="00A4769D">
              <w:rPr>
                <w:b/>
                <w:sz w:val="18"/>
                <w:szCs w:val="18"/>
              </w:rPr>
              <w:t xml:space="preserve">(IF 6.1, </w:t>
            </w:r>
            <w:r w:rsidR="009244AB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42194871" w14:textId="40270ED2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7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H. Gao, Q. Liu, and M. Sauter, “Influences of directional aperture heterogeneity </w:t>
            </w:r>
            <w:r w:rsidRPr="00A4769D">
              <w:rPr>
                <w:sz w:val="18"/>
                <w:szCs w:val="18"/>
              </w:rPr>
              <w:lastRenderedPageBreak/>
              <w:t xml:space="preserve">on the performances of two-phase enhanced geothermal system considering the CO2 buoyant force,” </w:t>
            </w:r>
            <w:r w:rsidRPr="00A4769D">
              <w:rPr>
                <w:i/>
                <w:iCs/>
                <w:sz w:val="18"/>
                <w:szCs w:val="18"/>
              </w:rPr>
              <w:t>Int. J. Heat Mass Transf.</w:t>
            </w:r>
            <w:r w:rsidRPr="00A4769D">
              <w:rPr>
                <w:sz w:val="18"/>
                <w:szCs w:val="18"/>
              </w:rPr>
              <w:t xml:space="preserve">, vol. 228, p. 125611, Aug. 2024, doi: 10.1016/j.ijheatmasstransfer.2024.125611. </w:t>
            </w:r>
            <w:r w:rsidRPr="00A4769D">
              <w:rPr>
                <w:b/>
                <w:sz w:val="18"/>
                <w:szCs w:val="18"/>
              </w:rPr>
              <w:t xml:space="preserve">(IF 5.0, </w:t>
            </w:r>
            <w:r w:rsidR="009244AB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5EFCEFD7" w14:textId="5D06332B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8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 </w:t>
            </w:r>
            <w:r w:rsidRPr="00A4769D">
              <w:rPr>
                <w:i/>
                <w:iCs/>
                <w:sz w:val="18"/>
                <w:szCs w:val="18"/>
              </w:rPr>
              <w:t>et al.</w:t>
            </w:r>
            <w:r w:rsidRPr="00A4769D">
              <w:rPr>
                <w:sz w:val="18"/>
                <w:szCs w:val="18"/>
              </w:rPr>
              <w:t xml:space="preserve">, “CO2 high-temperature aquifer thermal energy storage (CO2 HT-ATES) feasible study: Combing the heating storage and CCUS,” </w:t>
            </w:r>
            <w:r w:rsidRPr="00A4769D">
              <w:rPr>
                <w:i/>
                <w:iCs/>
                <w:sz w:val="18"/>
                <w:szCs w:val="18"/>
              </w:rPr>
              <w:t>Gas Sci. Eng.</w:t>
            </w:r>
            <w:r w:rsidRPr="00A4769D">
              <w:rPr>
                <w:sz w:val="18"/>
                <w:szCs w:val="18"/>
              </w:rPr>
              <w:t xml:space="preserve">, vol. 122, p. 205224, Feb. 2024, doi: 10.1016/j.jgsce.2024.205224. </w:t>
            </w:r>
            <w:r w:rsidRPr="00A4769D">
              <w:rPr>
                <w:b/>
                <w:sz w:val="18"/>
                <w:szCs w:val="18"/>
              </w:rPr>
              <w:t xml:space="preserve">(IF 4.9, </w:t>
            </w:r>
            <w:r w:rsidR="009244AB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2889EE50" w14:textId="5A28F5C8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9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I. Tomac, and M. Sauter, “Effects of fracture aperture distribution on the performances of the enhanced geothermal system using supercritical CO2 as working fluid,” </w:t>
            </w:r>
            <w:r w:rsidRPr="00A4769D">
              <w:rPr>
                <w:i/>
                <w:iCs/>
                <w:sz w:val="18"/>
                <w:szCs w:val="18"/>
              </w:rPr>
              <w:t>Energy</w:t>
            </w:r>
            <w:r w:rsidRPr="00A4769D">
              <w:rPr>
                <w:sz w:val="18"/>
                <w:szCs w:val="18"/>
              </w:rPr>
              <w:t xml:space="preserve">, vol. 284, p. 128655, Dec. 2023, doi: 10.1016/j.energy.2023.128655. </w:t>
            </w:r>
            <w:r w:rsidRPr="00A4769D">
              <w:rPr>
                <w:b/>
                <w:sz w:val="18"/>
                <w:szCs w:val="18"/>
              </w:rPr>
              <w:t xml:space="preserve">(IF 9.0, </w:t>
            </w:r>
            <w:r w:rsidR="009244AB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4E88396B" w14:textId="1DB30AD1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10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A. Niemi, C.-F. Tsang, and M. Sauter, “Study on the influence of randomly distributed fracture aperture in a fracture network on heat production from an enhanced geothermal system (EGS),” </w:t>
            </w:r>
            <w:r w:rsidRPr="00A4769D">
              <w:rPr>
                <w:i/>
                <w:iCs/>
                <w:sz w:val="18"/>
                <w:szCs w:val="18"/>
              </w:rPr>
              <w:t>Energy</w:t>
            </w:r>
            <w:r w:rsidRPr="00A4769D">
              <w:rPr>
                <w:sz w:val="18"/>
                <w:szCs w:val="18"/>
              </w:rPr>
              <w:t xml:space="preserve">, vol. 250, p. 123781, Jul. 2022, doi: 10.1016/j.energy.2022.123781. </w:t>
            </w:r>
            <w:r w:rsidRPr="00A4769D">
              <w:rPr>
                <w:b/>
                <w:sz w:val="18"/>
                <w:szCs w:val="18"/>
              </w:rPr>
              <w:t xml:space="preserve">(IF 9.0, </w:t>
            </w:r>
            <w:r w:rsidR="009244AB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5B0FAD37" w14:textId="57EBF7E3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</w:t>
            </w:r>
            <w:r w:rsidRPr="00A4769D">
              <w:rPr>
                <w:rFonts w:hint="eastAsia"/>
                <w:sz w:val="18"/>
                <w:szCs w:val="18"/>
              </w:rPr>
              <w:t>11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and M. Sauter, “Pore‐scale analytic model to calculate the suction stress in partially saturated soils,” </w:t>
            </w:r>
            <w:r w:rsidRPr="00A4769D">
              <w:rPr>
                <w:i/>
                <w:iCs/>
                <w:sz w:val="18"/>
                <w:szCs w:val="18"/>
              </w:rPr>
              <w:t>Vadose Zone J.</w:t>
            </w:r>
            <w:r w:rsidRPr="00A4769D">
              <w:rPr>
                <w:sz w:val="18"/>
                <w:szCs w:val="18"/>
              </w:rPr>
              <w:t xml:space="preserve">, vol. 21, no. 5, p. e20229, Sep. 2022, doi: 10.1002/vzj2.20229. </w:t>
            </w:r>
            <w:r w:rsidRPr="00A4769D">
              <w:rPr>
                <w:b/>
                <w:sz w:val="18"/>
                <w:szCs w:val="18"/>
              </w:rPr>
              <w:t xml:space="preserve">(IF 2.5, </w:t>
            </w:r>
            <w:r w:rsidR="00FB391B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0374EDAD" w14:textId="77777777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[1</w:t>
            </w:r>
            <w:r w:rsidRPr="00A4769D">
              <w:rPr>
                <w:rFonts w:hint="eastAsia"/>
                <w:sz w:val="18"/>
                <w:szCs w:val="18"/>
              </w:rPr>
              <w:t>2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and M. Sauter, “Thermo-hydro-mechanical modelling study of heat extraction and flow processes in enhanced geothermal systems,” </w:t>
            </w:r>
            <w:r w:rsidRPr="00A4769D">
              <w:rPr>
                <w:i/>
                <w:iCs/>
                <w:sz w:val="18"/>
                <w:szCs w:val="18"/>
              </w:rPr>
              <w:t xml:space="preserve">Adv. </w:t>
            </w:r>
            <w:proofErr w:type="spellStart"/>
            <w:r w:rsidRPr="00A4769D">
              <w:rPr>
                <w:i/>
                <w:iCs/>
                <w:sz w:val="18"/>
                <w:szCs w:val="18"/>
              </w:rPr>
              <w:t>Geosci</w:t>
            </w:r>
            <w:proofErr w:type="spellEnd"/>
            <w:r w:rsidRPr="00A4769D">
              <w:rPr>
                <w:i/>
                <w:iCs/>
                <w:sz w:val="18"/>
                <w:szCs w:val="18"/>
              </w:rPr>
              <w:t>.</w:t>
            </w:r>
            <w:r w:rsidRPr="00A4769D">
              <w:rPr>
                <w:sz w:val="18"/>
                <w:szCs w:val="18"/>
              </w:rPr>
              <w:t>, vol. 54, pp. 229–240, Jun. 2021, doi: 10.5194/adgeo-54-229-2021.</w:t>
            </w:r>
          </w:p>
          <w:p w14:paraId="37CEBF65" w14:textId="77579F16" w:rsidR="00E23677" w:rsidRPr="00A4769D" w:rsidRDefault="00E23677" w:rsidP="00E23677">
            <w:pPr>
              <w:pStyle w:val="a9"/>
              <w:rPr>
                <w:b/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[1</w:t>
            </w:r>
            <w:r w:rsidRPr="00A4769D">
              <w:rPr>
                <w:rFonts w:hint="eastAsia"/>
                <w:sz w:val="18"/>
                <w:szCs w:val="18"/>
              </w:rPr>
              <w:t>3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  <w:t xml:space="preserve">H. Gao, </w:t>
            </w:r>
            <w:r w:rsidRPr="00A4769D">
              <w:rPr>
                <w:b/>
                <w:sz w:val="18"/>
                <w:szCs w:val="18"/>
              </w:rPr>
              <w:t>D. Zhou*</w:t>
            </w:r>
            <w:r w:rsidRPr="00A4769D">
              <w:rPr>
                <w:sz w:val="18"/>
                <w:szCs w:val="18"/>
              </w:rPr>
              <w:t xml:space="preserve">, A. Tatomir, K. Li, M. Al-Eryani, S. Mohammadi, M. Sauter, “Effects of calcite reactions on aquifer permeability in high-temperature aquifer thermal energy storage,” </w:t>
            </w:r>
            <w:proofErr w:type="spellStart"/>
            <w:r w:rsidRPr="00A4769D">
              <w:rPr>
                <w:i/>
                <w:iCs/>
                <w:sz w:val="18"/>
                <w:szCs w:val="18"/>
              </w:rPr>
              <w:t>Hydrogeol</w:t>
            </w:r>
            <w:proofErr w:type="spellEnd"/>
            <w:r w:rsidRPr="00A4769D">
              <w:rPr>
                <w:i/>
                <w:iCs/>
                <w:sz w:val="18"/>
                <w:szCs w:val="18"/>
              </w:rPr>
              <w:t>. J.</w:t>
            </w:r>
            <w:r w:rsidRPr="00A4769D">
              <w:rPr>
                <w:sz w:val="18"/>
                <w:szCs w:val="18"/>
              </w:rPr>
              <w:t xml:space="preserve">, May 2025, doi: 10.1007/s10040-025-02899-y. </w:t>
            </w:r>
            <w:r w:rsidRPr="00A4769D">
              <w:rPr>
                <w:b/>
                <w:sz w:val="18"/>
                <w:szCs w:val="18"/>
              </w:rPr>
              <w:t>(IF 2.4,</w:t>
            </w:r>
            <w:r w:rsidR="00FB391B" w:rsidRPr="00A4769D">
              <w:rPr>
                <w:rFonts w:hint="eastAsia"/>
                <w:b/>
                <w:sz w:val="18"/>
                <w:szCs w:val="18"/>
              </w:rPr>
              <w:t xml:space="preserve"> JCR: Q2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0E2AD730" w14:textId="10987F5A" w:rsidR="00E23677" w:rsidRPr="00A4769D" w:rsidRDefault="00E23677" w:rsidP="00E23677">
            <w:pPr>
              <w:pStyle w:val="a9"/>
              <w:rPr>
                <w:b/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[1</w:t>
            </w:r>
            <w:r w:rsidR="00552626" w:rsidRPr="00A4769D">
              <w:rPr>
                <w:rFonts w:hint="eastAsia"/>
                <w:sz w:val="18"/>
                <w:szCs w:val="18"/>
              </w:rPr>
              <w:t>4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  <w:t xml:space="preserve">H. Gao*, </w:t>
            </w:r>
            <w:r w:rsidRPr="00A4769D">
              <w:rPr>
                <w:b/>
                <w:bCs/>
                <w:sz w:val="18"/>
                <w:szCs w:val="18"/>
              </w:rPr>
              <w:t>D. Zhou</w:t>
            </w:r>
            <w:r w:rsidRPr="00A4769D">
              <w:rPr>
                <w:sz w:val="18"/>
                <w:szCs w:val="18"/>
              </w:rPr>
              <w:t xml:space="preserve">, A. Tatomir, K. Li, L. Ganzer, P. Jaeger, G. Brenner, M. Sauter, ‘Estimation of recovery efficiency in high-temperature aquifer thermal energy storage considering buoyancy flow’, Water Resources Research, vol. 60, no. 11, p. e2024WR037491, 2024, doi: 10.1029/2024WR037491. </w:t>
            </w:r>
            <w:r w:rsidRPr="00A4769D">
              <w:rPr>
                <w:b/>
                <w:sz w:val="18"/>
                <w:szCs w:val="18"/>
              </w:rPr>
              <w:t xml:space="preserve">(IF </w:t>
            </w:r>
            <w:r w:rsidRPr="00A4769D">
              <w:rPr>
                <w:rFonts w:hint="eastAsia"/>
                <w:b/>
                <w:sz w:val="18"/>
                <w:szCs w:val="18"/>
              </w:rPr>
              <w:t>4.6</w:t>
            </w:r>
            <w:r w:rsidRPr="00A4769D">
              <w:rPr>
                <w:b/>
                <w:sz w:val="18"/>
                <w:szCs w:val="18"/>
              </w:rPr>
              <w:t xml:space="preserve">, </w:t>
            </w:r>
            <w:r w:rsidR="00552626" w:rsidRPr="00A4769D">
              <w:rPr>
                <w:rFonts w:hint="eastAsia"/>
                <w:b/>
                <w:sz w:val="18"/>
                <w:szCs w:val="18"/>
              </w:rPr>
              <w:t>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1C8E12A6" w14:textId="366922D2" w:rsidR="00E23677" w:rsidRPr="00A4769D" w:rsidRDefault="00E23677" w:rsidP="00E23677">
            <w:pPr>
              <w:pStyle w:val="a9"/>
              <w:rPr>
                <w:sz w:val="18"/>
                <w:szCs w:val="18"/>
              </w:rPr>
            </w:pPr>
            <w:r w:rsidRPr="00A4769D">
              <w:rPr>
                <w:sz w:val="18"/>
                <w:szCs w:val="18"/>
              </w:rPr>
              <w:t>[1</w:t>
            </w:r>
            <w:r w:rsidR="00552626" w:rsidRPr="00A4769D">
              <w:rPr>
                <w:rFonts w:hint="eastAsia"/>
                <w:sz w:val="18"/>
                <w:szCs w:val="18"/>
              </w:rPr>
              <w:t>5</w:t>
            </w:r>
            <w:r w:rsidRPr="00A4769D">
              <w:rPr>
                <w:sz w:val="18"/>
                <w:szCs w:val="18"/>
              </w:rPr>
              <w:t>]</w:t>
            </w:r>
            <w:r w:rsidRPr="00A4769D">
              <w:rPr>
                <w:sz w:val="18"/>
                <w:szCs w:val="18"/>
              </w:rPr>
              <w:tab/>
              <w:t xml:space="preserve">H. Gao*, H. Abdullah, A.B. </w:t>
            </w:r>
            <w:proofErr w:type="spellStart"/>
            <w:r w:rsidRPr="00A4769D">
              <w:rPr>
                <w:sz w:val="18"/>
                <w:szCs w:val="18"/>
              </w:rPr>
              <w:t>Tatomir</w:t>
            </w:r>
            <w:proofErr w:type="spellEnd"/>
            <w:r w:rsidRPr="00A4769D">
              <w:rPr>
                <w:sz w:val="18"/>
                <w:szCs w:val="18"/>
              </w:rPr>
              <w:t xml:space="preserve">, N.K. </w:t>
            </w:r>
            <w:proofErr w:type="spellStart"/>
            <w:r w:rsidRPr="00A4769D">
              <w:rPr>
                <w:sz w:val="18"/>
                <w:szCs w:val="18"/>
              </w:rPr>
              <w:t>Karadimitriou</w:t>
            </w:r>
            <w:proofErr w:type="spellEnd"/>
            <w:r w:rsidRPr="00A4769D">
              <w:rPr>
                <w:sz w:val="18"/>
                <w:szCs w:val="18"/>
              </w:rPr>
              <w:t xml:space="preserve">, H. Steeb, </w:t>
            </w:r>
            <w:r w:rsidRPr="00A4769D">
              <w:rPr>
                <w:b/>
                <w:sz w:val="18"/>
                <w:szCs w:val="18"/>
              </w:rPr>
              <w:t>D. Zhou</w:t>
            </w:r>
            <w:r w:rsidRPr="00A4769D">
              <w:rPr>
                <w:sz w:val="18"/>
                <w:szCs w:val="18"/>
              </w:rPr>
              <w:t xml:space="preserve">, Q. Liu, M. Sauter, “Pore-scale study of the effects of grain size on the capillary-associated interfacial area during primary drainage,” </w:t>
            </w:r>
            <w:r w:rsidRPr="00A4769D">
              <w:rPr>
                <w:i/>
                <w:iCs/>
                <w:sz w:val="18"/>
                <w:szCs w:val="18"/>
              </w:rPr>
              <w:t xml:space="preserve">J. </w:t>
            </w:r>
            <w:proofErr w:type="spellStart"/>
            <w:r w:rsidRPr="00A4769D">
              <w:rPr>
                <w:i/>
                <w:iCs/>
                <w:sz w:val="18"/>
                <w:szCs w:val="18"/>
              </w:rPr>
              <w:t>Hydrol</w:t>
            </w:r>
            <w:proofErr w:type="spellEnd"/>
            <w:r w:rsidRPr="00A4769D">
              <w:rPr>
                <w:i/>
                <w:iCs/>
                <w:sz w:val="18"/>
                <w:szCs w:val="18"/>
              </w:rPr>
              <w:t>.</w:t>
            </w:r>
            <w:r w:rsidRPr="00A4769D">
              <w:rPr>
                <w:sz w:val="18"/>
                <w:szCs w:val="18"/>
              </w:rPr>
              <w:t xml:space="preserve">, vol. 632, p. 130865, Mar. 2024, doi: 10.1016/j.jhydrol.2024.130865. </w:t>
            </w:r>
            <w:r w:rsidRPr="00A4769D">
              <w:rPr>
                <w:b/>
                <w:sz w:val="18"/>
                <w:szCs w:val="18"/>
              </w:rPr>
              <w:t>(IF 5.9,</w:t>
            </w:r>
            <w:r w:rsidR="00552626" w:rsidRPr="00A4769D">
              <w:rPr>
                <w:rFonts w:hint="eastAsia"/>
                <w:b/>
                <w:sz w:val="18"/>
                <w:szCs w:val="18"/>
              </w:rPr>
              <w:t xml:space="preserve"> JCR: Q1</w:t>
            </w:r>
            <w:r w:rsidRPr="00A4769D">
              <w:rPr>
                <w:b/>
                <w:sz w:val="18"/>
                <w:szCs w:val="18"/>
              </w:rPr>
              <w:t>)</w:t>
            </w:r>
          </w:p>
          <w:p w14:paraId="441AF788" w14:textId="77777777" w:rsidR="00A4769D" w:rsidRDefault="00A4769D" w:rsidP="004432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  <w:p w14:paraId="056AA9C3" w14:textId="26E9ED7C" w:rsidR="00873094" w:rsidRPr="00A4769D" w:rsidRDefault="00A4769D" w:rsidP="004432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科研项目</w:t>
            </w:r>
            <w:r w:rsidRPr="00A4769D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D8829FC" w14:textId="77777777" w:rsidR="00B165AB" w:rsidRPr="00B165AB" w:rsidRDefault="00B165AB" w:rsidP="00B165AB">
            <w:pPr>
              <w:pStyle w:val="Default"/>
              <w:rPr>
                <w:sz w:val="18"/>
                <w:szCs w:val="18"/>
              </w:rPr>
            </w:pPr>
            <w:r w:rsidRPr="00B165AB">
              <w:rPr>
                <w:rFonts w:hint="eastAsia"/>
                <w:sz w:val="18"/>
                <w:szCs w:val="18"/>
              </w:rPr>
              <w:t>项目名称：</w:t>
            </w:r>
            <w:r w:rsidRPr="00B165AB">
              <w:rPr>
                <w:sz w:val="18"/>
                <w:szCs w:val="18"/>
              </w:rPr>
              <w:t xml:space="preserve">Geo-TES: Möglichkeiten und Grenzen thermischer Energiespeicherung in tiefen Aquiferen im Rahmen der "Wärmewende 2030". </w:t>
            </w:r>
          </w:p>
          <w:p w14:paraId="3BBF6E02" w14:textId="77777777" w:rsidR="00B165AB" w:rsidRPr="00B165AB" w:rsidRDefault="00B165AB" w:rsidP="00B165AB">
            <w:pPr>
              <w:pStyle w:val="Default"/>
              <w:rPr>
                <w:sz w:val="18"/>
                <w:szCs w:val="18"/>
                <w:lang w:val="de-DE"/>
              </w:rPr>
            </w:pPr>
            <w:r w:rsidRPr="00B165AB">
              <w:rPr>
                <w:rFonts w:hint="eastAsia"/>
                <w:sz w:val="18"/>
                <w:szCs w:val="18"/>
              </w:rPr>
              <w:t>项目来源：</w:t>
            </w:r>
            <w:r w:rsidRPr="00B165AB">
              <w:rPr>
                <w:sz w:val="18"/>
                <w:szCs w:val="18"/>
                <w:lang w:val="de-DE"/>
              </w:rPr>
              <w:t>Bundesministerium für Bildung und Forschung (BMBF 06G0917A)</w:t>
            </w:r>
          </w:p>
          <w:p w14:paraId="39EC04D0" w14:textId="77777777" w:rsidR="00B165AB" w:rsidRPr="00B165AB" w:rsidRDefault="00B165AB" w:rsidP="00B165AB">
            <w:pPr>
              <w:pStyle w:val="Default"/>
              <w:rPr>
                <w:sz w:val="18"/>
                <w:szCs w:val="18"/>
                <w:lang w:val="de-DE"/>
              </w:rPr>
            </w:pPr>
            <w:r w:rsidRPr="00B165AB">
              <w:rPr>
                <w:rFonts w:hint="eastAsia"/>
                <w:sz w:val="18"/>
                <w:szCs w:val="18"/>
                <w:lang w:val="de-DE"/>
              </w:rPr>
              <w:t>项目经费：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 xml:space="preserve">237 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万元</w:t>
            </w:r>
          </w:p>
          <w:p w14:paraId="2E818158" w14:textId="77777777" w:rsidR="00B165AB" w:rsidRPr="00B165AB" w:rsidRDefault="00B165AB" w:rsidP="00B165AB">
            <w:pPr>
              <w:pStyle w:val="Default"/>
              <w:rPr>
                <w:sz w:val="18"/>
                <w:szCs w:val="18"/>
                <w:lang w:val="de-DE"/>
              </w:rPr>
            </w:pPr>
            <w:r w:rsidRPr="00B165AB">
              <w:rPr>
                <w:rFonts w:hint="eastAsia"/>
                <w:sz w:val="18"/>
                <w:szCs w:val="18"/>
                <w:lang w:val="de-DE"/>
              </w:rPr>
              <w:t>起止时间：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2022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年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6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月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-2025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年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6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月</w:t>
            </w:r>
          </w:p>
          <w:p w14:paraId="394BE862" w14:textId="77777777" w:rsidR="00B165AB" w:rsidRPr="00B165AB" w:rsidRDefault="00B165AB" w:rsidP="00B165AB">
            <w:pPr>
              <w:pStyle w:val="Default"/>
              <w:rPr>
                <w:sz w:val="18"/>
                <w:szCs w:val="18"/>
                <w:lang w:val="de-DE"/>
              </w:rPr>
            </w:pPr>
            <w:r w:rsidRPr="00B165AB">
              <w:rPr>
                <w:rFonts w:hint="eastAsia"/>
                <w:sz w:val="18"/>
                <w:szCs w:val="18"/>
                <w:lang w:val="de-DE"/>
              </w:rPr>
              <w:t>本人排名：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 xml:space="preserve">2/4 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（科研骨干）</w:t>
            </w:r>
          </w:p>
          <w:p w14:paraId="681AE1B9" w14:textId="77777777" w:rsidR="00A4769D" w:rsidRDefault="00B165AB" w:rsidP="00B165AB">
            <w:pPr>
              <w:pStyle w:val="Default"/>
              <w:rPr>
                <w:sz w:val="18"/>
                <w:szCs w:val="18"/>
                <w:lang w:val="de-DE"/>
              </w:rPr>
            </w:pPr>
            <w:r w:rsidRPr="00B165AB">
              <w:rPr>
                <w:rFonts w:hint="eastAsia"/>
                <w:sz w:val="18"/>
                <w:szCs w:val="18"/>
                <w:lang w:val="de-DE"/>
              </w:rPr>
              <w:t>主要贡献：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1.</w:t>
            </w:r>
            <w:r w:rsidRPr="00B165AB">
              <w:rPr>
                <w:sz w:val="18"/>
                <w:szCs w:val="18"/>
                <w:lang w:val="de-DE"/>
              </w:rPr>
              <w:tab/>
            </w:r>
            <w:r w:rsidRPr="00B165AB">
              <w:rPr>
                <w:rFonts w:hint="eastAsia"/>
                <w:sz w:val="18"/>
                <w:szCs w:val="18"/>
              </w:rPr>
              <w:t>研究计划的撰写及实现（多物理场耦合过程）</w:t>
            </w:r>
            <w:r w:rsidRPr="00B165AB">
              <w:rPr>
                <w:rFonts w:hint="eastAsia"/>
                <w:sz w:val="18"/>
                <w:szCs w:val="18"/>
              </w:rPr>
              <w:t xml:space="preserve">,  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2.</w:t>
            </w:r>
            <w:r w:rsidRPr="00B165AB">
              <w:rPr>
                <w:rFonts w:hint="eastAsia"/>
                <w:sz w:val="18"/>
                <w:szCs w:val="18"/>
                <w:lang w:val="de-DE"/>
              </w:rPr>
              <w:t>对地下多物理场耦合过程进行模拟与分析</w:t>
            </w:r>
          </w:p>
          <w:p w14:paraId="013A6291" w14:textId="2394E030" w:rsidR="00B165AB" w:rsidRPr="00B165AB" w:rsidRDefault="00B165AB" w:rsidP="00B165AB">
            <w:pPr>
              <w:pStyle w:val="Default"/>
              <w:rPr>
                <w:sz w:val="18"/>
                <w:szCs w:val="18"/>
                <w:lang w:val="de-DE"/>
              </w:rPr>
            </w:pPr>
          </w:p>
        </w:tc>
      </w:tr>
      <w:tr w:rsidR="007A7D2C" w:rsidRPr="009671A3" w14:paraId="596CA82A" w14:textId="77777777" w:rsidTr="002D69D2">
        <w:trPr>
          <w:trHeight w:val="1638"/>
          <w:jc w:val="center"/>
        </w:trPr>
        <w:tc>
          <w:tcPr>
            <w:tcW w:w="1203" w:type="dxa"/>
            <w:vAlign w:val="center"/>
          </w:tcPr>
          <w:p w14:paraId="401FA89A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奖惩</w:t>
            </w:r>
          </w:p>
          <w:p w14:paraId="1993FD34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120" w:type="dxa"/>
            <w:gridSpan w:val="8"/>
          </w:tcPr>
          <w:p w14:paraId="5D6584E3" w14:textId="77777777" w:rsidR="007A7D2C" w:rsidRPr="006561B4" w:rsidRDefault="007A7D2C" w:rsidP="004432EE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获奖、受处分情况：</w:t>
            </w:r>
          </w:p>
          <w:p w14:paraId="1AA7DFDE" w14:textId="3DECD679" w:rsidR="007A7D2C" w:rsidRPr="006561B4" w:rsidRDefault="006075C5" w:rsidP="004432EE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武汉大学优秀本科生</w:t>
            </w:r>
          </w:p>
          <w:p w14:paraId="4AFFFBD3" w14:textId="699E5D73" w:rsidR="006561B4" w:rsidRPr="006561B4" w:rsidRDefault="004A40BF" w:rsidP="004432EE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国家公派留学生</w:t>
            </w:r>
          </w:p>
        </w:tc>
      </w:tr>
    </w:tbl>
    <w:p w14:paraId="06D2B1FF" w14:textId="149A58CC" w:rsidR="007A7D2C" w:rsidRPr="003F127D" w:rsidRDefault="007A7D2C" w:rsidP="002A496F">
      <w:pPr>
        <w:rPr>
          <w:rFonts w:ascii="微软雅黑" w:eastAsia="微软雅黑" w:hAnsi="微软雅黑"/>
          <w:sz w:val="20"/>
          <w:szCs w:val="20"/>
        </w:rPr>
      </w:pPr>
    </w:p>
    <w:sectPr w:rsidR="007A7D2C" w:rsidRPr="003F127D" w:rsidSect="00B96D00">
      <w:pgSz w:w="11907" w:h="16840" w:code="9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37E3" w14:textId="77777777" w:rsidR="0046163A" w:rsidRDefault="0046163A" w:rsidP="00DA6028">
      <w:r>
        <w:separator/>
      </w:r>
    </w:p>
  </w:endnote>
  <w:endnote w:type="continuationSeparator" w:id="0">
    <w:p w14:paraId="6A276686" w14:textId="77777777" w:rsidR="0046163A" w:rsidRDefault="0046163A" w:rsidP="00D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11B73" w14:textId="77777777" w:rsidR="0046163A" w:rsidRDefault="0046163A" w:rsidP="00DA6028">
      <w:r>
        <w:separator/>
      </w:r>
    </w:p>
  </w:footnote>
  <w:footnote w:type="continuationSeparator" w:id="0">
    <w:p w14:paraId="6D9E712F" w14:textId="77777777" w:rsidR="0046163A" w:rsidRDefault="0046163A" w:rsidP="00DA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A59BA"/>
    <w:multiLevelType w:val="hybridMultilevel"/>
    <w:tmpl w:val="D376E104"/>
    <w:lvl w:ilvl="0" w:tplc="19E260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DD"/>
    <w:rsid w:val="000136B6"/>
    <w:rsid w:val="00045706"/>
    <w:rsid w:val="00074224"/>
    <w:rsid w:val="00076BEE"/>
    <w:rsid w:val="00081BC2"/>
    <w:rsid w:val="000A2435"/>
    <w:rsid w:val="000C41FE"/>
    <w:rsid w:val="00125F0A"/>
    <w:rsid w:val="0015349D"/>
    <w:rsid w:val="00165471"/>
    <w:rsid w:val="001841B2"/>
    <w:rsid w:val="001B3B9D"/>
    <w:rsid w:val="001C52F8"/>
    <w:rsid w:val="00204806"/>
    <w:rsid w:val="00221D43"/>
    <w:rsid w:val="0027573C"/>
    <w:rsid w:val="002771BA"/>
    <w:rsid w:val="00295F10"/>
    <w:rsid w:val="002A496F"/>
    <w:rsid w:val="002C07F5"/>
    <w:rsid w:val="002D4360"/>
    <w:rsid w:val="002D69D2"/>
    <w:rsid w:val="002E63A0"/>
    <w:rsid w:val="003072FB"/>
    <w:rsid w:val="00313F2A"/>
    <w:rsid w:val="003147D7"/>
    <w:rsid w:val="00327592"/>
    <w:rsid w:val="00387A02"/>
    <w:rsid w:val="003969E0"/>
    <w:rsid w:val="003A3B30"/>
    <w:rsid w:val="003B1764"/>
    <w:rsid w:val="003E4242"/>
    <w:rsid w:val="003F127D"/>
    <w:rsid w:val="00421996"/>
    <w:rsid w:val="00424986"/>
    <w:rsid w:val="004565A5"/>
    <w:rsid w:val="0046163A"/>
    <w:rsid w:val="00462E60"/>
    <w:rsid w:val="004667AE"/>
    <w:rsid w:val="004725F6"/>
    <w:rsid w:val="00475233"/>
    <w:rsid w:val="00480306"/>
    <w:rsid w:val="00482490"/>
    <w:rsid w:val="004849CE"/>
    <w:rsid w:val="004A40BF"/>
    <w:rsid w:val="004A5175"/>
    <w:rsid w:val="004B5671"/>
    <w:rsid w:val="004D12D4"/>
    <w:rsid w:val="004D5F57"/>
    <w:rsid w:val="00503C41"/>
    <w:rsid w:val="00532BB2"/>
    <w:rsid w:val="00552626"/>
    <w:rsid w:val="0056282B"/>
    <w:rsid w:val="00575849"/>
    <w:rsid w:val="00580F28"/>
    <w:rsid w:val="005D4325"/>
    <w:rsid w:val="005F0239"/>
    <w:rsid w:val="005F419E"/>
    <w:rsid w:val="005F67D7"/>
    <w:rsid w:val="00604A94"/>
    <w:rsid w:val="006075C5"/>
    <w:rsid w:val="00612D5B"/>
    <w:rsid w:val="00617836"/>
    <w:rsid w:val="006210C2"/>
    <w:rsid w:val="00627A84"/>
    <w:rsid w:val="0065437A"/>
    <w:rsid w:val="006561B4"/>
    <w:rsid w:val="00664915"/>
    <w:rsid w:val="00673FC8"/>
    <w:rsid w:val="00680ED5"/>
    <w:rsid w:val="00683162"/>
    <w:rsid w:val="00694971"/>
    <w:rsid w:val="00697C3A"/>
    <w:rsid w:val="006B55EE"/>
    <w:rsid w:val="006C567E"/>
    <w:rsid w:val="006E3878"/>
    <w:rsid w:val="00700140"/>
    <w:rsid w:val="00701CE9"/>
    <w:rsid w:val="0070439D"/>
    <w:rsid w:val="00745BB2"/>
    <w:rsid w:val="00751F57"/>
    <w:rsid w:val="007674F9"/>
    <w:rsid w:val="0076761E"/>
    <w:rsid w:val="00776D9B"/>
    <w:rsid w:val="007A3929"/>
    <w:rsid w:val="007A5391"/>
    <w:rsid w:val="007A73F6"/>
    <w:rsid w:val="007A7D2C"/>
    <w:rsid w:val="007C2C9E"/>
    <w:rsid w:val="007C600E"/>
    <w:rsid w:val="007D6A73"/>
    <w:rsid w:val="007E6B08"/>
    <w:rsid w:val="00816A11"/>
    <w:rsid w:val="0082430E"/>
    <w:rsid w:val="008344D6"/>
    <w:rsid w:val="0084027C"/>
    <w:rsid w:val="00840F36"/>
    <w:rsid w:val="00841CF6"/>
    <w:rsid w:val="00873094"/>
    <w:rsid w:val="008A3819"/>
    <w:rsid w:val="008B3919"/>
    <w:rsid w:val="008B4B3B"/>
    <w:rsid w:val="008C04D6"/>
    <w:rsid w:val="008E7157"/>
    <w:rsid w:val="00913AD9"/>
    <w:rsid w:val="009140FD"/>
    <w:rsid w:val="009244AB"/>
    <w:rsid w:val="009671A3"/>
    <w:rsid w:val="00976F16"/>
    <w:rsid w:val="0098393E"/>
    <w:rsid w:val="009968A1"/>
    <w:rsid w:val="009B2042"/>
    <w:rsid w:val="009C7092"/>
    <w:rsid w:val="009E40F0"/>
    <w:rsid w:val="009F0CBD"/>
    <w:rsid w:val="009F1356"/>
    <w:rsid w:val="009F157A"/>
    <w:rsid w:val="009F6CFB"/>
    <w:rsid w:val="00A4769D"/>
    <w:rsid w:val="00A82F59"/>
    <w:rsid w:val="00AA43DD"/>
    <w:rsid w:val="00AD5C08"/>
    <w:rsid w:val="00AF1675"/>
    <w:rsid w:val="00AF4FAC"/>
    <w:rsid w:val="00B1363C"/>
    <w:rsid w:val="00B165AB"/>
    <w:rsid w:val="00B84809"/>
    <w:rsid w:val="00B94A50"/>
    <w:rsid w:val="00B94FDD"/>
    <w:rsid w:val="00B96D00"/>
    <w:rsid w:val="00BC7B97"/>
    <w:rsid w:val="00BE7EFB"/>
    <w:rsid w:val="00C0136C"/>
    <w:rsid w:val="00C32921"/>
    <w:rsid w:val="00C46ECF"/>
    <w:rsid w:val="00C86CE0"/>
    <w:rsid w:val="00C9384A"/>
    <w:rsid w:val="00CA166A"/>
    <w:rsid w:val="00CA5A2C"/>
    <w:rsid w:val="00CB42A1"/>
    <w:rsid w:val="00CC2108"/>
    <w:rsid w:val="00CD43CC"/>
    <w:rsid w:val="00CD49F5"/>
    <w:rsid w:val="00CF2452"/>
    <w:rsid w:val="00D02CEA"/>
    <w:rsid w:val="00D10975"/>
    <w:rsid w:val="00D216FD"/>
    <w:rsid w:val="00D95595"/>
    <w:rsid w:val="00D964B1"/>
    <w:rsid w:val="00DA6028"/>
    <w:rsid w:val="00DB15AB"/>
    <w:rsid w:val="00DD37BD"/>
    <w:rsid w:val="00DE475D"/>
    <w:rsid w:val="00E21F7E"/>
    <w:rsid w:val="00E23677"/>
    <w:rsid w:val="00E33FA9"/>
    <w:rsid w:val="00E659DE"/>
    <w:rsid w:val="00E82994"/>
    <w:rsid w:val="00E94191"/>
    <w:rsid w:val="00EB0E68"/>
    <w:rsid w:val="00EB147B"/>
    <w:rsid w:val="00EB3C9C"/>
    <w:rsid w:val="00EC493B"/>
    <w:rsid w:val="00EC50B2"/>
    <w:rsid w:val="00ED10A8"/>
    <w:rsid w:val="00ED7A81"/>
    <w:rsid w:val="00EF09DA"/>
    <w:rsid w:val="00F030A5"/>
    <w:rsid w:val="00F11620"/>
    <w:rsid w:val="00F94FBF"/>
    <w:rsid w:val="00FA18DB"/>
    <w:rsid w:val="00FB391B"/>
    <w:rsid w:val="00FB5078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ED88D"/>
  <w15:docId w15:val="{147CB711-DD87-42D6-B5DE-E295DB5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147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602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028"/>
    <w:rPr>
      <w:kern w:val="2"/>
      <w:sz w:val="18"/>
      <w:szCs w:val="18"/>
    </w:rPr>
  </w:style>
  <w:style w:type="paragraph" w:styleId="a9">
    <w:name w:val="Bibliography"/>
    <w:basedOn w:val="a"/>
    <w:next w:val="a"/>
    <w:uiPriority w:val="37"/>
    <w:semiHidden/>
    <w:unhideWhenUsed/>
    <w:rsid w:val="00E23677"/>
  </w:style>
  <w:style w:type="paragraph" w:customStyle="1" w:styleId="Default">
    <w:name w:val="Default"/>
    <w:uiPriority w:val="99"/>
    <w:rsid w:val="00B165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73C08-78B6-4C0A-82AB-362D099F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qw</cp:lastModifiedBy>
  <cp:revision>27</cp:revision>
  <cp:lastPrinted>2012-06-25T00:08:00Z</cp:lastPrinted>
  <dcterms:created xsi:type="dcterms:W3CDTF">2025-12-01T09:12:00Z</dcterms:created>
  <dcterms:modified xsi:type="dcterms:W3CDTF">2026-03-09T02:35:00Z</dcterms:modified>
</cp:coreProperties>
</file>