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3F6" w:rsidRPr="00CD3306" w:rsidRDefault="00C203F6" w:rsidP="00C203F6">
      <w:pPr>
        <w:rPr>
          <w:rFonts w:ascii="仿宋_GB2312" w:eastAsia="仿宋_GB2312" w:hAnsiTheme="minorEastAsia"/>
          <w:sz w:val="32"/>
          <w:szCs w:val="32"/>
        </w:rPr>
      </w:pPr>
      <w:r w:rsidRPr="00CD3306">
        <w:rPr>
          <w:rFonts w:ascii="仿宋_GB2312" w:eastAsia="仿宋_GB2312" w:hAnsiTheme="minorEastAsia" w:hint="eastAsia"/>
          <w:sz w:val="32"/>
          <w:szCs w:val="32"/>
        </w:rPr>
        <w:t>附件：</w:t>
      </w:r>
    </w:p>
    <w:p w:rsidR="00C203F6" w:rsidRPr="00A41BC1" w:rsidRDefault="00AC6BB4" w:rsidP="00E207E7">
      <w:pPr>
        <w:jc w:val="center"/>
        <w:rPr>
          <w:rFonts w:ascii="仿宋_GB2312" w:eastAsia="仿宋_GB2312" w:hAnsiTheme="minorEastAsia"/>
          <w:b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资金监控</w:t>
      </w:r>
      <w:r w:rsidR="00720D83">
        <w:rPr>
          <w:rFonts w:ascii="仿宋_GB2312" w:eastAsia="仿宋_GB2312" w:hAnsiTheme="minorEastAsia" w:hint="eastAsia"/>
          <w:b/>
          <w:sz w:val="32"/>
          <w:szCs w:val="32"/>
        </w:rPr>
        <w:t>重点</w:t>
      </w:r>
      <w:bookmarkStart w:id="0" w:name="_GoBack"/>
      <w:bookmarkEnd w:id="0"/>
      <w:r w:rsidR="00C203F6" w:rsidRPr="00A41BC1">
        <w:rPr>
          <w:rFonts w:ascii="仿宋_GB2312" w:eastAsia="仿宋_GB2312" w:hAnsiTheme="minorEastAsia" w:hint="eastAsia"/>
          <w:b/>
          <w:sz w:val="32"/>
          <w:szCs w:val="32"/>
        </w:rPr>
        <w:t>内容</w:t>
      </w:r>
    </w:p>
    <w:p w:rsidR="00C203F6" w:rsidRPr="00A41BC1" w:rsidRDefault="00C203F6" w:rsidP="002C766D">
      <w:pPr>
        <w:pStyle w:val="1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sz w:val="32"/>
          <w:szCs w:val="32"/>
        </w:rPr>
        <w:t>关联交易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b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问题：</w:t>
      </w:r>
      <w:r w:rsidRPr="00A41BC1">
        <w:rPr>
          <w:rFonts w:ascii="仿宋_GB2312" w:eastAsia="仿宋_GB2312" w:hAnsiTheme="minorEastAsia" w:hint="eastAsia"/>
          <w:bCs/>
          <w:sz w:val="32"/>
          <w:szCs w:val="32"/>
        </w:rPr>
        <w:t>项目负责人和项目交易企业的利益相关者（法人、高管、股东等）身份识别为同一人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策略：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根据系统中第三</w:t>
      </w:r>
      <w:proofErr w:type="gramStart"/>
      <w:r w:rsidRPr="00A41BC1">
        <w:rPr>
          <w:rFonts w:ascii="仿宋_GB2312" w:eastAsia="仿宋_GB2312" w:hAnsiTheme="minorEastAsia" w:hint="eastAsia"/>
          <w:sz w:val="32"/>
          <w:szCs w:val="32"/>
        </w:rPr>
        <w:t>方工商</w:t>
      </w:r>
      <w:proofErr w:type="gramEnd"/>
      <w:r w:rsidRPr="00A41BC1">
        <w:rPr>
          <w:rFonts w:ascii="仿宋_GB2312" w:eastAsia="仿宋_GB2312" w:hAnsiTheme="minorEastAsia" w:hint="eastAsia"/>
          <w:sz w:val="32"/>
          <w:szCs w:val="32"/>
        </w:rPr>
        <w:t>数据，逐步实现财务、人事等系统，实时判定关联交易，快速进行疑似异常预警</w:t>
      </w:r>
    </w:p>
    <w:p w:rsidR="00C203F6" w:rsidRPr="00A41BC1" w:rsidRDefault="00C203F6" w:rsidP="002C766D">
      <w:pPr>
        <w:pStyle w:val="1"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sz w:val="32"/>
          <w:szCs w:val="32"/>
        </w:rPr>
        <w:t>交易企业状态异常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b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问题：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交易对方的企业状态异常（吊销、注销、停业、清算、被工商部门列入“经营异常名录、严重失信企业名单”等造成的工商信息变更）后，继续跟该企业发生交易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策略：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根据系统中第三</w:t>
      </w:r>
      <w:proofErr w:type="gramStart"/>
      <w:r w:rsidRPr="00A41BC1">
        <w:rPr>
          <w:rFonts w:ascii="仿宋_GB2312" w:eastAsia="仿宋_GB2312" w:hAnsiTheme="minorEastAsia" w:hint="eastAsia"/>
          <w:sz w:val="32"/>
          <w:szCs w:val="32"/>
        </w:rPr>
        <w:t>方工商</w:t>
      </w:r>
      <w:proofErr w:type="gramEnd"/>
      <w:r w:rsidRPr="00A41BC1">
        <w:rPr>
          <w:rFonts w:ascii="仿宋_GB2312" w:eastAsia="仿宋_GB2312" w:hAnsiTheme="minorEastAsia" w:hint="eastAsia"/>
          <w:sz w:val="32"/>
          <w:szCs w:val="32"/>
        </w:rPr>
        <w:t>数据，在规则中心建立多种异常判定模型，标记异常企业，监控被标记企业与本校后续发生的所有交易</w:t>
      </w:r>
    </w:p>
    <w:p w:rsidR="00C203F6" w:rsidRPr="00A41BC1" w:rsidRDefault="00C203F6" w:rsidP="002C766D">
      <w:pPr>
        <w:pStyle w:val="1"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sz w:val="32"/>
          <w:szCs w:val="32"/>
        </w:rPr>
        <w:t>合作单位无资质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问题：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项目合作的</w:t>
      </w:r>
      <w:proofErr w:type="gramStart"/>
      <w:r w:rsidRPr="00A41BC1">
        <w:rPr>
          <w:rFonts w:ascii="仿宋_GB2312" w:eastAsia="仿宋_GB2312" w:hAnsiTheme="minorEastAsia" w:hint="eastAsia"/>
          <w:sz w:val="32"/>
          <w:szCs w:val="32"/>
        </w:rPr>
        <w:t>的</w:t>
      </w:r>
      <w:proofErr w:type="gramEnd"/>
      <w:r w:rsidRPr="00A41BC1">
        <w:rPr>
          <w:rFonts w:ascii="仿宋_GB2312" w:eastAsia="仿宋_GB2312" w:hAnsiTheme="minorEastAsia" w:hint="eastAsia"/>
          <w:sz w:val="32"/>
          <w:szCs w:val="32"/>
        </w:rPr>
        <w:t>单位不符合相关资质要求（</w:t>
      </w:r>
      <w:r w:rsidRPr="00A41BC1">
        <w:rPr>
          <w:rFonts w:ascii="仿宋_GB2312" w:eastAsia="仿宋_GB2312" w:hAnsiTheme="minorEastAsia" w:cs="Tahoma" w:hint="eastAsia"/>
          <w:color w:val="666666"/>
          <w:sz w:val="32"/>
          <w:szCs w:val="32"/>
        </w:rPr>
        <w:t>企业的人员素质、技术及管理水平、工程设备、资金及效益情况、承包经营能力和建设业绩等</w:t>
      </w:r>
      <w:r w:rsidRPr="00A41BC1">
        <w:rPr>
          <w:rFonts w:ascii="仿宋_GB2312" w:eastAsia="仿宋_GB2312" w:hAnsiTheme="minorEastAsia" w:hint="eastAsia"/>
          <w:sz w:val="32"/>
          <w:szCs w:val="32"/>
        </w:rPr>
        <w:t>）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策略：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“关注企业名单”中建立不同等级的关注企业名单，在规则中心建立“与关注企业进行交易”的预警规则，发现与关注</w:t>
      </w:r>
      <w:proofErr w:type="gramStart"/>
      <w:r w:rsidRPr="00A41BC1">
        <w:rPr>
          <w:rFonts w:ascii="仿宋_GB2312" w:eastAsia="仿宋_GB2312" w:hAnsiTheme="minorEastAsia" w:hint="eastAsia"/>
          <w:sz w:val="32"/>
          <w:szCs w:val="32"/>
        </w:rPr>
        <w:t>单企业</w:t>
      </w:r>
      <w:proofErr w:type="gramEnd"/>
      <w:r w:rsidRPr="00A41BC1">
        <w:rPr>
          <w:rFonts w:ascii="仿宋_GB2312" w:eastAsia="仿宋_GB2312" w:hAnsiTheme="minorEastAsia" w:hint="eastAsia"/>
          <w:sz w:val="32"/>
          <w:szCs w:val="32"/>
        </w:rPr>
        <w:t>进行交易则预警</w:t>
      </w:r>
    </w:p>
    <w:p w:rsidR="00C203F6" w:rsidRPr="00A41BC1" w:rsidRDefault="00C203F6" w:rsidP="002C766D">
      <w:pPr>
        <w:pStyle w:val="1"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sz w:val="32"/>
          <w:szCs w:val="32"/>
        </w:rPr>
        <w:t>负责人对外频繁交易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b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问题：</w:t>
      </w:r>
      <w:r w:rsidRPr="00A41BC1">
        <w:rPr>
          <w:rFonts w:ascii="仿宋_GB2312" w:eastAsia="仿宋_GB2312" w:hAnsiTheme="minorEastAsia" w:hint="eastAsia"/>
          <w:bCs/>
          <w:sz w:val="32"/>
          <w:szCs w:val="32"/>
        </w:rPr>
        <w:t>一定周期内，同一负责人对外交易过于频繁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策略：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设定规则，推荐频繁阈值，超过阈值则预警</w:t>
      </w:r>
    </w:p>
    <w:p w:rsidR="00C203F6" w:rsidRPr="00A41BC1" w:rsidRDefault="00C203F6" w:rsidP="002C766D">
      <w:pPr>
        <w:pStyle w:val="1"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sz w:val="32"/>
          <w:szCs w:val="32"/>
        </w:rPr>
        <w:lastRenderedPageBreak/>
        <w:t>同一负责人与同一企业交易过于频繁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b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问题：</w:t>
      </w:r>
      <w:r w:rsidRPr="00A41BC1">
        <w:rPr>
          <w:rFonts w:ascii="仿宋_GB2312" w:eastAsia="仿宋_GB2312" w:hAnsiTheme="minorEastAsia" w:hint="eastAsia"/>
          <w:bCs/>
          <w:sz w:val="32"/>
          <w:szCs w:val="32"/>
        </w:rPr>
        <w:t>一定周期内，同一负责人与同一单位交易过于频繁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策略：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设定规则，推荐频繁阈值，超过阈值则预警</w:t>
      </w:r>
    </w:p>
    <w:p w:rsidR="00C203F6" w:rsidRPr="00A41BC1" w:rsidRDefault="00C203F6" w:rsidP="002C766D">
      <w:pPr>
        <w:pStyle w:val="1"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sz w:val="32"/>
          <w:szCs w:val="32"/>
        </w:rPr>
        <w:t>项目对外频繁交易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b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问题：</w:t>
      </w:r>
      <w:r w:rsidRPr="00A41BC1">
        <w:rPr>
          <w:rFonts w:ascii="仿宋_GB2312" w:eastAsia="仿宋_GB2312" w:hAnsiTheme="minorEastAsia" w:hint="eastAsia"/>
          <w:bCs/>
          <w:sz w:val="32"/>
          <w:szCs w:val="32"/>
        </w:rPr>
        <w:t>一定周期内，同一项目对外交易过于频繁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策略：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设定规则，推荐频繁阈值，超过阈值则预警</w:t>
      </w:r>
    </w:p>
    <w:p w:rsidR="00C203F6" w:rsidRPr="00A41BC1" w:rsidRDefault="00C203F6" w:rsidP="002C766D">
      <w:pPr>
        <w:pStyle w:val="1"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sz w:val="32"/>
          <w:szCs w:val="32"/>
        </w:rPr>
        <w:t>同一项目与同一企业交易过于频繁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b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问题：</w:t>
      </w:r>
      <w:r w:rsidRPr="00A41BC1">
        <w:rPr>
          <w:rFonts w:ascii="仿宋_GB2312" w:eastAsia="仿宋_GB2312" w:hAnsiTheme="minorEastAsia" w:hint="eastAsia"/>
          <w:bCs/>
          <w:sz w:val="32"/>
          <w:szCs w:val="32"/>
        </w:rPr>
        <w:t>一定周期内，同一项目与同一单位交易过于频繁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策略：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设定规则，推荐频繁阈值，超过阈值则预警</w:t>
      </w:r>
    </w:p>
    <w:p w:rsidR="00C203F6" w:rsidRPr="00A41BC1" w:rsidRDefault="00C203F6" w:rsidP="002C766D">
      <w:pPr>
        <w:pStyle w:val="1"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sz w:val="32"/>
          <w:szCs w:val="32"/>
        </w:rPr>
        <w:t>企业频繁交易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bCs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问题：</w:t>
      </w:r>
      <w:r w:rsidRPr="00A41BC1">
        <w:rPr>
          <w:rFonts w:ascii="仿宋_GB2312" w:eastAsia="仿宋_GB2312" w:hAnsiTheme="minorEastAsia" w:hint="eastAsia"/>
          <w:bCs/>
          <w:sz w:val="32"/>
          <w:szCs w:val="32"/>
        </w:rPr>
        <w:t>一定周期内，同一</w:t>
      </w:r>
      <w:proofErr w:type="gramStart"/>
      <w:r w:rsidRPr="00A41BC1">
        <w:rPr>
          <w:rFonts w:ascii="仿宋_GB2312" w:eastAsia="仿宋_GB2312" w:hAnsiTheme="minorEastAsia" w:hint="eastAsia"/>
          <w:bCs/>
          <w:sz w:val="32"/>
          <w:szCs w:val="32"/>
        </w:rPr>
        <w:t>单企业</w:t>
      </w:r>
      <w:proofErr w:type="gramEnd"/>
      <w:r w:rsidRPr="00A41BC1">
        <w:rPr>
          <w:rFonts w:ascii="仿宋_GB2312" w:eastAsia="仿宋_GB2312" w:hAnsiTheme="minorEastAsia" w:hint="eastAsia"/>
          <w:bCs/>
          <w:sz w:val="32"/>
          <w:szCs w:val="32"/>
        </w:rPr>
        <w:t>与该校各单位交易过于频繁</w:t>
      </w:r>
    </w:p>
    <w:p w:rsidR="00C203F6" w:rsidRPr="00A41BC1" w:rsidRDefault="00C203F6" w:rsidP="002C766D">
      <w:pPr>
        <w:spacing w:line="560" w:lineRule="exact"/>
        <w:ind w:firstLine="284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策略：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配置模型动态监测各企业与全校所有单位的交易行为，AI通过频率、额度、时期等特征自学习并预警</w:t>
      </w:r>
    </w:p>
    <w:p w:rsidR="00C203F6" w:rsidRPr="00A41BC1" w:rsidRDefault="00C203F6" w:rsidP="002C766D">
      <w:pPr>
        <w:pStyle w:val="1"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sz w:val="32"/>
          <w:szCs w:val="32"/>
        </w:rPr>
        <w:t>连号发票--分拆报销规避合同流程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b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问题：</w:t>
      </w:r>
      <w:r w:rsidRPr="00A41BC1">
        <w:rPr>
          <w:rFonts w:ascii="仿宋_GB2312" w:eastAsia="仿宋_GB2312" w:hAnsiTheme="minorEastAsia" w:hint="eastAsia"/>
          <w:bCs/>
          <w:sz w:val="32"/>
          <w:szCs w:val="32"/>
        </w:rPr>
        <w:t>为了规避合同流程，项目负责人将达到限额（需签合同）的交易拆分成多次开发票，并在不同时间、不同项目或不同校区进行报销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策略：</w:t>
      </w:r>
      <w:r w:rsidRPr="00A41BC1">
        <w:rPr>
          <w:rFonts w:ascii="仿宋_GB2312" w:eastAsia="仿宋_GB2312" w:hAnsiTheme="minorEastAsia" w:hint="eastAsia"/>
          <w:bCs/>
          <w:sz w:val="32"/>
          <w:szCs w:val="32"/>
        </w:rPr>
        <w:t>设定规则，定义时间期间、交易笔数、累计金额，达到条件，</w:t>
      </w:r>
      <w:r w:rsidRPr="00A41BC1">
        <w:rPr>
          <w:rFonts w:ascii="仿宋_GB2312" w:eastAsia="仿宋_GB2312" w:hAnsiTheme="minorEastAsia" w:hint="eastAsia"/>
          <w:sz w:val="32"/>
          <w:szCs w:val="32"/>
        </w:rPr>
        <w:t>则预警</w:t>
      </w:r>
    </w:p>
    <w:p w:rsidR="00C203F6" w:rsidRPr="00A41BC1" w:rsidRDefault="00C203F6" w:rsidP="002C766D">
      <w:pPr>
        <w:pStyle w:val="1"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sz w:val="32"/>
          <w:szCs w:val="32"/>
        </w:rPr>
        <w:t>连号发票—拆分报销虚列支出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bCs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问题：</w:t>
      </w:r>
      <w:r w:rsidRPr="00A41BC1">
        <w:rPr>
          <w:rFonts w:ascii="仿宋_GB2312" w:eastAsia="仿宋_GB2312" w:hAnsiTheme="minorEastAsia" w:hint="eastAsia"/>
          <w:bCs/>
          <w:sz w:val="32"/>
          <w:szCs w:val="32"/>
        </w:rPr>
        <w:t>同一项目负责人向同一家单位(或个人)累计支付办公用品费或材料费，笔数超过一定笔数或累计金额达到一定金额，疑似虚列开支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lastRenderedPageBreak/>
        <w:t>策略：</w:t>
      </w:r>
      <w:r w:rsidRPr="00A41BC1">
        <w:rPr>
          <w:rFonts w:ascii="仿宋_GB2312" w:eastAsia="仿宋_GB2312" w:hAnsiTheme="minorEastAsia" w:hint="eastAsia"/>
          <w:bCs/>
          <w:sz w:val="32"/>
          <w:szCs w:val="32"/>
        </w:rPr>
        <w:t>设定规则，定义时间期间、交易笔数、累计金额，达到条件，</w:t>
      </w:r>
      <w:r w:rsidRPr="00A41BC1">
        <w:rPr>
          <w:rFonts w:ascii="仿宋_GB2312" w:eastAsia="仿宋_GB2312" w:hAnsiTheme="minorEastAsia" w:hint="eastAsia"/>
          <w:sz w:val="32"/>
          <w:szCs w:val="32"/>
        </w:rPr>
        <w:t>则预警</w:t>
      </w:r>
    </w:p>
    <w:p w:rsidR="00C203F6" w:rsidRPr="00A41BC1" w:rsidRDefault="00C203F6" w:rsidP="002C766D">
      <w:pPr>
        <w:pStyle w:val="1"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sz w:val="32"/>
          <w:szCs w:val="32"/>
        </w:rPr>
        <w:t>与政府采购严重失信企业名单交易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bCs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问题：</w:t>
      </w:r>
      <w:r w:rsidRPr="00A41BC1">
        <w:rPr>
          <w:rFonts w:ascii="仿宋_GB2312" w:eastAsia="仿宋_GB2312" w:hAnsiTheme="minorEastAsia" w:hint="eastAsia"/>
          <w:bCs/>
          <w:sz w:val="32"/>
          <w:szCs w:val="32"/>
        </w:rPr>
        <w:t>与被公开的政府采购严重违法失信企业进行交易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策略：</w:t>
      </w:r>
      <w:r w:rsidRPr="00A41BC1">
        <w:rPr>
          <w:rFonts w:ascii="仿宋_GB2312" w:eastAsia="仿宋_GB2312" w:hAnsiTheme="minorEastAsia" w:hint="eastAsia"/>
          <w:bCs/>
          <w:sz w:val="32"/>
          <w:szCs w:val="32"/>
        </w:rPr>
        <w:t>凡被列入“政府采购严重违法失信企业名单”的企业，且在禁止参与政府采购活动的时间期间内，一旦与本校发生交易则预警</w:t>
      </w:r>
    </w:p>
    <w:p w:rsidR="00C203F6" w:rsidRPr="00A41BC1" w:rsidRDefault="00C203F6" w:rsidP="002C766D">
      <w:pPr>
        <w:pStyle w:val="1"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sz w:val="32"/>
          <w:szCs w:val="32"/>
        </w:rPr>
        <w:t>未按规定填写用途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bCs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问题：</w:t>
      </w:r>
      <w:r w:rsidRPr="00A41BC1">
        <w:rPr>
          <w:rFonts w:ascii="仿宋_GB2312" w:eastAsia="仿宋_GB2312" w:hAnsiTheme="minorEastAsia" w:hint="eastAsia"/>
          <w:bCs/>
          <w:sz w:val="32"/>
          <w:szCs w:val="32"/>
        </w:rPr>
        <w:t>费用报销时未按照相关规定填写“用途”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策略：</w:t>
      </w:r>
      <w:r w:rsidRPr="00A41BC1">
        <w:rPr>
          <w:rFonts w:ascii="仿宋_GB2312" w:eastAsia="仿宋_GB2312" w:hAnsiTheme="minorEastAsia" w:hint="eastAsia"/>
          <w:bCs/>
          <w:sz w:val="32"/>
          <w:szCs w:val="32"/>
        </w:rPr>
        <w:t>用途为空、全为数字、全为字母、仅包含数字和字母、字数小于2，满足以上任</w:t>
      </w:r>
      <w:proofErr w:type="gramStart"/>
      <w:r w:rsidRPr="00A41BC1">
        <w:rPr>
          <w:rFonts w:ascii="仿宋_GB2312" w:eastAsia="仿宋_GB2312" w:hAnsiTheme="minorEastAsia" w:hint="eastAsia"/>
          <w:bCs/>
          <w:sz w:val="32"/>
          <w:szCs w:val="32"/>
        </w:rPr>
        <w:t>一</w:t>
      </w:r>
      <w:proofErr w:type="gramEnd"/>
      <w:r w:rsidRPr="00A41BC1">
        <w:rPr>
          <w:rFonts w:ascii="仿宋_GB2312" w:eastAsia="仿宋_GB2312" w:hAnsiTheme="minorEastAsia" w:hint="eastAsia"/>
          <w:bCs/>
          <w:sz w:val="32"/>
          <w:szCs w:val="32"/>
        </w:rPr>
        <w:t>条件则预警</w:t>
      </w:r>
    </w:p>
    <w:p w:rsidR="00C203F6" w:rsidRPr="00A41BC1" w:rsidRDefault="00C203F6" w:rsidP="002C766D">
      <w:pPr>
        <w:pStyle w:val="1"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sz w:val="32"/>
          <w:szCs w:val="32"/>
        </w:rPr>
        <w:t>零余额账户用款额</w:t>
      </w:r>
      <w:proofErr w:type="gramStart"/>
      <w:r w:rsidRPr="00A41BC1">
        <w:rPr>
          <w:rFonts w:ascii="仿宋_GB2312" w:eastAsia="仿宋_GB2312" w:hAnsiTheme="minorEastAsia" w:hint="eastAsia"/>
          <w:sz w:val="32"/>
          <w:szCs w:val="32"/>
        </w:rPr>
        <w:t>度使用</w:t>
      </w:r>
      <w:proofErr w:type="gramEnd"/>
      <w:r w:rsidRPr="00A41BC1">
        <w:rPr>
          <w:rFonts w:ascii="仿宋_GB2312" w:eastAsia="仿宋_GB2312" w:hAnsiTheme="minorEastAsia" w:hint="eastAsia"/>
          <w:sz w:val="32"/>
          <w:szCs w:val="32"/>
        </w:rPr>
        <w:t>不规范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b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问题：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违反零余额使用规定。比如：①发生捐款、罚款、合作办学、福利费、餐费等不符合零余额账户用款额度的支出类型；②向实有资金账户划转资金；③自筹资金投资项目使用部分国拨资金。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策略：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①在规则中心设置规则，通过对摘要和会计科目监控，发现捐款、罚款、合作办学、福利费、餐费等敏感词语，进行疑似异常预警；②在规则中心设置联合规则，零余额账户用款额度贷方发生额&gt;0且借方对应科目为银行存款（排除摘要含有“公费经费”、“住房改革”、“应缴”、“代扣代缴”、“水费”、“电费”、“税金”、“取暖费”等关键词的转账）；③同一天内在同一项目下支付给同一家单位的金额累计达到或超过500万，对应摘要中出现“自筹”关键词则进行预</w:t>
      </w:r>
      <w:r w:rsidRPr="00A41BC1">
        <w:rPr>
          <w:rFonts w:ascii="仿宋_GB2312" w:eastAsia="仿宋_GB2312" w:hAnsiTheme="minorEastAsia" w:hint="eastAsia"/>
          <w:sz w:val="32"/>
          <w:szCs w:val="32"/>
        </w:rPr>
        <w:lastRenderedPageBreak/>
        <w:t>警</w:t>
      </w:r>
    </w:p>
    <w:p w:rsidR="00C203F6" w:rsidRPr="00A41BC1" w:rsidRDefault="00C203F6" w:rsidP="002C766D">
      <w:pPr>
        <w:pStyle w:val="1"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sz w:val="32"/>
          <w:szCs w:val="32"/>
        </w:rPr>
        <w:t>大额资金流动异常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b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问题：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零余额账户大额付款贷方发生额&gt;500万；应收票据科目金额&gt;100万；预付账款&gt;100万；长期应付款科目贷方发生额&gt;100万（不限于以上3类）</w:t>
      </w:r>
    </w:p>
    <w:p w:rsidR="00C203F6" w:rsidRPr="00A41BC1" w:rsidRDefault="00C203F6" w:rsidP="002C766D">
      <w:pPr>
        <w:spacing w:line="560" w:lineRule="exact"/>
        <w:ind w:firstLine="36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策略：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规则中心按规定设置监控科目的交易限额，超过限额则预警；智能分析非监控科目交易额度正常水平并建议预警额度，设定后可预警</w:t>
      </w:r>
    </w:p>
    <w:p w:rsidR="00C203F6" w:rsidRPr="00A41BC1" w:rsidRDefault="00C203F6" w:rsidP="002C766D">
      <w:pPr>
        <w:pStyle w:val="1"/>
        <w:numPr>
          <w:ilvl w:val="0"/>
          <w:numId w:val="2"/>
        </w:numPr>
        <w:spacing w:line="560" w:lineRule="exact"/>
        <w:ind w:left="426" w:firstLineChars="0" w:hanging="426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sz w:val="32"/>
          <w:szCs w:val="32"/>
        </w:rPr>
        <w:t>资金安全</w:t>
      </w:r>
    </w:p>
    <w:p w:rsidR="00C203F6" w:rsidRPr="00A41BC1" w:rsidRDefault="00C203F6" w:rsidP="002C766D">
      <w:pPr>
        <w:spacing w:line="560" w:lineRule="exact"/>
        <w:ind w:firstLine="42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问题：①</w:t>
      </w:r>
      <w:r w:rsidRPr="00A41BC1">
        <w:rPr>
          <w:rFonts w:ascii="仿宋_GB2312" w:eastAsia="仿宋_GB2312" w:hAnsiTheme="minorEastAsia" w:hint="eastAsia"/>
          <w:sz w:val="32"/>
          <w:szCs w:val="32"/>
        </w:rPr>
        <w:t>每日库存现金余额是否超过核定额度、大额现金是否及时存入银行；②年限较久的“应收账款”是否存在问题；③年限较久的“预付账款”是否存在问题；④银行未达账项</w:t>
      </w:r>
    </w:p>
    <w:p w:rsidR="00C203F6" w:rsidRPr="00A41BC1" w:rsidRDefault="00C203F6" w:rsidP="002C766D">
      <w:pPr>
        <w:spacing w:line="560" w:lineRule="exact"/>
        <w:ind w:firstLine="42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策略：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财务处为指定资金设置交易合</w:t>
      </w:r>
      <w:proofErr w:type="gramStart"/>
      <w:r w:rsidRPr="00A41BC1">
        <w:rPr>
          <w:rFonts w:ascii="仿宋_GB2312" w:eastAsia="仿宋_GB2312" w:hAnsiTheme="minorEastAsia" w:hint="eastAsia"/>
          <w:sz w:val="32"/>
          <w:szCs w:val="32"/>
        </w:rPr>
        <w:t>规</w:t>
      </w:r>
      <w:proofErr w:type="gramEnd"/>
      <w:r w:rsidRPr="00A41BC1">
        <w:rPr>
          <w:rFonts w:ascii="仿宋_GB2312" w:eastAsia="仿宋_GB2312" w:hAnsiTheme="minorEastAsia" w:hint="eastAsia"/>
          <w:sz w:val="32"/>
          <w:szCs w:val="32"/>
        </w:rPr>
        <w:t>条件、违规条件、交易限额等，达到预警条件则提醒会计核算部门。①规则中心配置模型：每日库存现金余额&gt;开户银行核定限额则预警；②规则中心配置模型，对超过3年的“应收账款”进行监控，科目余额超过阈值进行重点监控（算法模型推荐阈值）；②规则中心配置模型，对超过3年的“预付账款”进行监控，科目余额超过阈值进行重点监控（算法模型推荐阈值）</w:t>
      </w:r>
    </w:p>
    <w:p w:rsidR="00C203F6" w:rsidRPr="00A41BC1" w:rsidRDefault="00C203F6" w:rsidP="002C766D">
      <w:pPr>
        <w:pStyle w:val="1"/>
        <w:numPr>
          <w:ilvl w:val="0"/>
          <w:numId w:val="2"/>
        </w:numPr>
        <w:spacing w:line="560" w:lineRule="exact"/>
        <w:ind w:left="284" w:firstLineChars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sz w:val="32"/>
          <w:szCs w:val="32"/>
        </w:rPr>
        <w:t>违规投资</w:t>
      </w:r>
    </w:p>
    <w:p w:rsidR="00C203F6" w:rsidRPr="00A41BC1" w:rsidRDefault="00C203F6" w:rsidP="002C766D">
      <w:pPr>
        <w:spacing w:line="560" w:lineRule="exact"/>
        <w:ind w:firstLine="284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问题：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长期股权投资、长期债券投资的投资内容是否合法，不得从事股票、期货、基金、企业债等投资。</w:t>
      </w:r>
    </w:p>
    <w:p w:rsidR="00C203F6" w:rsidRPr="00A41BC1" w:rsidRDefault="00C203F6" w:rsidP="002C766D">
      <w:pPr>
        <w:spacing w:line="560" w:lineRule="exact"/>
        <w:ind w:firstLine="284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策略：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为具体账户/交易企业设置“投资禁止” ，明细有</w:t>
      </w:r>
      <w:r w:rsidRPr="00A41BC1">
        <w:rPr>
          <w:rFonts w:ascii="仿宋_GB2312" w:eastAsia="仿宋_GB2312" w:hAnsiTheme="minorEastAsia" w:hint="eastAsia"/>
          <w:sz w:val="32"/>
          <w:szCs w:val="32"/>
        </w:rPr>
        <w:lastRenderedPageBreak/>
        <w:t>“股票、期货、基金”等字样或交易企业具备投资属性，预警</w:t>
      </w:r>
    </w:p>
    <w:p w:rsidR="00C203F6" w:rsidRPr="00A41BC1" w:rsidRDefault="00C203F6" w:rsidP="002C766D">
      <w:pPr>
        <w:pStyle w:val="1"/>
        <w:numPr>
          <w:ilvl w:val="0"/>
          <w:numId w:val="2"/>
        </w:numPr>
        <w:spacing w:line="560" w:lineRule="exact"/>
        <w:ind w:left="284" w:firstLineChars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sz w:val="32"/>
          <w:szCs w:val="32"/>
        </w:rPr>
        <w:t>科目设置不合理</w:t>
      </w:r>
    </w:p>
    <w:p w:rsidR="00C203F6" w:rsidRPr="00A41BC1" w:rsidRDefault="00C203F6" w:rsidP="002C766D">
      <w:pPr>
        <w:spacing w:line="560" w:lineRule="exact"/>
        <w:ind w:firstLine="284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问题：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①银行存款科目下是否设置“银行存款日记账”；②财政应返还额度科目，是否设置“财政直接支付”、“财政授权支付”两个明细科目进行核算（不限于以上两种类型）</w:t>
      </w:r>
    </w:p>
    <w:p w:rsidR="00C203F6" w:rsidRPr="00A41BC1" w:rsidRDefault="00C203F6" w:rsidP="002C766D">
      <w:pPr>
        <w:spacing w:line="560" w:lineRule="exact"/>
        <w:ind w:firstLine="284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策略：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规则中心设置“科目—明细科目”模型，不合规则预警</w:t>
      </w:r>
    </w:p>
    <w:p w:rsidR="00C203F6" w:rsidRPr="00A41BC1" w:rsidRDefault="00C203F6" w:rsidP="002C766D">
      <w:pPr>
        <w:pStyle w:val="1"/>
        <w:numPr>
          <w:ilvl w:val="0"/>
          <w:numId w:val="2"/>
        </w:numPr>
        <w:spacing w:line="560" w:lineRule="exact"/>
        <w:ind w:left="284" w:firstLineChars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sz w:val="32"/>
          <w:szCs w:val="32"/>
        </w:rPr>
        <w:t>误用会计科目</w:t>
      </w:r>
    </w:p>
    <w:p w:rsidR="00C203F6" w:rsidRPr="00A41BC1" w:rsidRDefault="00C203F6" w:rsidP="002C766D">
      <w:pPr>
        <w:pStyle w:val="1"/>
        <w:spacing w:line="560" w:lineRule="exact"/>
        <w:ind w:left="420" w:firstLineChars="0" w:firstLine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问题：“</w:t>
      </w:r>
      <w:r w:rsidRPr="00A41BC1">
        <w:rPr>
          <w:rFonts w:ascii="仿宋_GB2312" w:eastAsia="仿宋_GB2312" w:hAnsiTheme="minorEastAsia" w:hint="eastAsia"/>
          <w:sz w:val="32"/>
          <w:szCs w:val="32"/>
        </w:rPr>
        <w:t>本期盈余</w:t>
      </w:r>
      <w:r w:rsidRPr="00A41BC1">
        <w:rPr>
          <w:rFonts w:ascii="仿宋_GB2312" w:eastAsia="仿宋_GB2312" w:hAnsiTheme="minorEastAsia" w:hint="eastAsia"/>
          <w:b/>
          <w:sz w:val="32"/>
          <w:szCs w:val="32"/>
        </w:rPr>
        <w:t>”</w:t>
      </w:r>
      <w:r w:rsidRPr="00A41BC1">
        <w:rPr>
          <w:rFonts w:ascii="仿宋_GB2312" w:eastAsia="仿宋_GB2312" w:hAnsiTheme="minorEastAsia" w:hint="eastAsia"/>
          <w:sz w:val="32"/>
          <w:szCs w:val="32"/>
        </w:rPr>
        <w:t>科目，月结、年结使用，日常核算不涉及该科目（不限于上述事例）</w:t>
      </w:r>
    </w:p>
    <w:p w:rsidR="00C203F6" w:rsidRPr="00A41BC1" w:rsidRDefault="00C203F6" w:rsidP="002C766D">
      <w:pPr>
        <w:pStyle w:val="1"/>
        <w:spacing w:line="560" w:lineRule="exact"/>
        <w:ind w:left="420" w:firstLineChars="0" w:firstLine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策略：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监控日常核算，日常</w:t>
      </w:r>
      <w:proofErr w:type="gramStart"/>
      <w:r w:rsidRPr="00A41BC1">
        <w:rPr>
          <w:rFonts w:ascii="仿宋_GB2312" w:eastAsia="仿宋_GB2312" w:hAnsiTheme="minorEastAsia" w:hint="eastAsia"/>
          <w:sz w:val="32"/>
          <w:szCs w:val="32"/>
        </w:rPr>
        <w:t>核算此</w:t>
      </w:r>
      <w:proofErr w:type="gramEnd"/>
      <w:r w:rsidRPr="00A41BC1">
        <w:rPr>
          <w:rFonts w:ascii="仿宋_GB2312" w:eastAsia="仿宋_GB2312" w:hAnsiTheme="minorEastAsia" w:hint="eastAsia"/>
          <w:sz w:val="32"/>
          <w:szCs w:val="32"/>
        </w:rPr>
        <w:t>科目有发生额则预警</w:t>
      </w:r>
    </w:p>
    <w:p w:rsidR="00C203F6" w:rsidRPr="00A41BC1" w:rsidRDefault="00C203F6" w:rsidP="002C766D">
      <w:pPr>
        <w:pStyle w:val="1"/>
        <w:numPr>
          <w:ilvl w:val="0"/>
          <w:numId w:val="2"/>
        </w:numPr>
        <w:spacing w:line="560" w:lineRule="exact"/>
        <w:ind w:left="426" w:firstLineChars="0" w:hanging="426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sz w:val="32"/>
          <w:szCs w:val="32"/>
        </w:rPr>
        <w:t>账务处理不合理</w:t>
      </w:r>
    </w:p>
    <w:p w:rsidR="00C203F6" w:rsidRPr="00A41BC1" w:rsidRDefault="00C203F6" w:rsidP="002C766D">
      <w:pPr>
        <w:pStyle w:val="1"/>
        <w:spacing w:line="560" w:lineRule="exact"/>
        <w:ind w:left="420" w:firstLineChars="0" w:firstLine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问题：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坏账计提是否合理；</w:t>
      </w:r>
    </w:p>
    <w:p w:rsidR="00C203F6" w:rsidRPr="00A41BC1" w:rsidRDefault="00C203F6" w:rsidP="002C766D">
      <w:pPr>
        <w:pStyle w:val="1"/>
        <w:spacing w:line="560" w:lineRule="exact"/>
        <w:ind w:left="420" w:firstLineChars="0" w:firstLine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举例：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在规则中心设置坏账准备计提比例阈值（算法推荐阈值），对超过阈值的坏账计提进行预警</w:t>
      </w:r>
    </w:p>
    <w:p w:rsidR="00C203F6" w:rsidRPr="00A41BC1" w:rsidRDefault="00C203F6" w:rsidP="002C766D">
      <w:pPr>
        <w:pStyle w:val="1"/>
        <w:numPr>
          <w:ilvl w:val="0"/>
          <w:numId w:val="2"/>
        </w:numPr>
        <w:spacing w:line="560" w:lineRule="exact"/>
        <w:ind w:left="284" w:firstLineChars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sz w:val="32"/>
          <w:szCs w:val="32"/>
        </w:rPr>
        <w:t>未平行记账</w:t>
      </w:r>
    </w:p>
    <w:p w:rsidR="00C203F6" w:rsidRPr="00A41BC1" w:rsidRDefault="00C203F6" w:rsidP="002C766D">
      <w:pPr>
        <w:pStyle w:val="1"/>
        <w:spacing w:line="560" w:lineRule="exact"/>
        <w:ind w:left="420" w:firstLineChars="0" w:firstLine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问题：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财务会计和预算会计未平行记账。</w:t>
      </w:r>
    </w:p>
    <w:p w:rsidR="00C203F6" w:rsidRPr="00A41BC1" w:rsidRDefault="00C203F6" w:rsidP="002C766D">
      <w:pPr>
        <w:pStyle w:val="1"/>
        <w:spacing w:line="560" w:lineRule="exact"/>
        <w:ind w:left="420" w:firstLineChars="0" w:firstLine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策略：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监控记账凭证，明细科目含捐赠预算收入、利息预算收入、租金预算收入的记录在财务记账中是否同时存在，若不存在则预警。</w:t>
      </w:r>
    </w:p>
    <w:p w:rsidR="00C203F6" w:rsidRPr="00A41BC1" w:rsidRDefault="00C203F6" w:rsidP="002C766D">
      <w:pPr>
        <w:pStyle w:val="1"/>
        <w:numPr>
          <w:ilvl w:val="0"/>
          <w:numId w:val="2"/>
        </w:numPr>
        <w:spacing w:line="560" w:lineRule="exact"/>
        <w:ind w:left="284" w:firstLineChars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sz w:val="32"/>
          <w:szCs w:val="32"/>
        </w:rPr>
        <w:t>操作不合规范</w:t>
      </w:r>
    </w:p>
    <w:p w:rsidR="00C203F6" w:rsidRPr="00A41BC1" w:rsidRDefault="00C203F6" w:rsidP="002C766D">
      <w:pPr>
        <w:pStyle w:val="1"/>
        <w:spacing w:line="560" w:lineRule="exact"/>
        <w:ind w:left="420" w:firstLineChars="0" w:firstLine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问题：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固定资产账实不符（不限于此事例）</w:t>
      </w:r>
    </w:p>
    <w:p w:rsidR="00C203F6" w:rsidRPr="00A41BC1" w:rsidRDefault="00C203F6" w:rsidP="002C766D">
      <w:pPr>
        <w:pStyle w:val="1"/>
        <w:spacing w:line="560" w:lineRule="exact"/>
        <w:ind w:left="420" w:firstLineChars="0" w:firstLine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策略：</w:t>
      </w:r>
      <w:r w:rsidRPr="00A41BC1">
        <w:rPr>
          <w:rFonts w:ascii="仿宋_GB2312" w:eastAsia="仿宋_GB2312" w:hAnsiTheme="minorEastAsia" w:hint="eastAsia"/>
          <w:sz w:val="32"/>
          <w:szCs w:val="32"/>
        </w:rPr>
        <w:t>在规则中心设置相应策略，触发则预警</w:t>
      </w:r>
    </w:p>
    <w:p w:rsidR="00C203F6" w:rsidRPr="00A41BC1" w:rsidRDefault="00C203F6" w:rsidP="002C766D">
      <w:pPr>
        <w:pStyle w:val="1"/>
        <w:numPr>
          <w:ilvl w:val="0"/>
          <w:numId w:val="2"/>
        </w:numPr>
        <w:spacing w:line="560" w:lineRule="exact"/>
        <w:ind w:left="284" w:firstLineChars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sz w:val="32"/>
          <w:szCs w:val="32"/>
        </w:rPr>
        <w:lastRenderedPageBreak/>
        <w:t>核算错误</w:t>
      </w:r>
    </w:p>
    <w:p w:rsidR="00C203F6" w:rsidRPr="00A41BC1" w:rsidRDefault="00C203F6" w:rsidP="002C766D">
      <w:pPr>
        <w:pStyle w:val="1"/>
        <w:spacing w:line="560" w:lineRule="exact"/>
        <w:ind w:left="420" w:firstLineChars="0" w:firstLine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问题：①</w:t>
      </w:r>
      <w:r w:rsidRPr="00A41BC1">
        <w:rPr>
          <w:rFonts w:ascii="仿宋_GB2312" w:eastAsia="仿宋_GB2312" w:hAnsiTheme="minorEastAsia" w:hint="eastAsia"/>
          <w:sz w:val="32"/>
          <w:szCs w:val="32"/>
        </w:rPr>
        <w:t>2303应付政府补贴款，不应有发生额；②2102其他应交税费年末科目余额不正确</w:t>
      </w:r>
    </w:p>
    <w:p w:rsidR="00C203F6" w:rsidRPr="00A41BC1" w:rsidRDefault="00C203F6" w:rsidP="002C766D">
      <w:pPr>
        <w:pStyle w:val="1"/>
        <w:spacing w:line="560" w:lineRule="exact"/>
        <w:ind w:left="420" w:firstLineChars="0" w:firstLine="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/>
          <w:sz w:val="32"/>
          <w:szCs w:val="32"/>
        </w:rPr>
        <w:t>策略：①</w:t>
      </w:r>
      <w:r w:rsidRPr="00A41BC1">
        <w:rPr>
          <w:rFonts w:ascii="仿宋_GB2312" w:eastAsia="仿宋_GB2312" w:hAnsiTheme="minorEastAsia" w:hint="eastAsia"/>
          <w:sz w:val="32"/>
          <w:szCs w:val="32"/>
        </w:rPr>
        <w:t>规则中心设置相应策略，有发生额则预警；②规则中心设置相应策略，该科目年末余额在借方或者贷方余额为负数则预警</w:t>
      </w:r>
    </w:p>
    <w:p w:rsidR="009B20FA" w:rsidRDefault="004A40AE" w:rsidP="004A40AE">
      <w:pPr>
        <w:pStyle w:val="1"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境外来款（自建规则）</w:t>
      </w:r>
    </w:p>
    <w:p w:rsidR="004A40AE" w:rsidRDefault="004A40AE" w:rsidP="004A40AE">
      <w:pPr>
        <w:pStyle w:val="1"/>
        <w:spacing w:line="560" w:lineRule="exact"/>
        <w:ind w:left="360" w:firstLineChars="0" w:firstLine="0"/>
        <w:rPr>
          <w:rFonts w:ascii="仿宋_GB2312" w:eastAsia="仿宋_GB2312" w:hAnsiTheme="minorEastAsia"/>
          <w:sz w:val="32"/>
          <w:szCs w:val="32"/>
        </w:rPr>
      </w:pPr>
      <w:r w:rsidRPr="005C5CF9">
        <w:rPr>
          <w:rFonts w:ascii="仿宋_GB2312" w:eastAsia="仿宋_GB2312" w:hAnsiTheme="minorEastAsia" w:hint="eastAsia"/>
          <w:b/>
          <w:sz w:val="32"/>
          <w:szCs w:val="32"/>
        </w:rPr>
        <w:t>问题：</w:t>
      </w:r>
      <w:r>
        <w:rPr>
          <w:rFonts w:ascii="仿宋_GB2312" w:eastAsia="仿宋_GB2312" w:hAnsiTheme="minorEastAsia" w:hint="eastAsia"/>
          <w:sz w:val="32"/>
          <w:szCs w:val="32"/>
        </w:rPr>
        <w:t>境外来款涉及国家安全、信息安全、周边突发事件等</w:t>
      </w:r>
    </w:p>
    <w:p w:rsidR="004A40AE" w:rsidRPr="00A41BC1" w:rsidRDefault="004A40AE" w:rsidP="004A40AE">
      <w:pPr>
        <w:pStyle w:val="1"/>
        <w:spacing w:line="560" w:lineRule="exact"/>
        <w:ind w:left="360" w:firstLineChars="0" w:firstLine="0"/>
        <w:rPr>
          <w:rFonts w:ascii="仿宋_GB2312" w:eastAsia="仿宋_GB2312" w:hAnsiTheme="minorEastAsia"/>
          <w:sz w:val="32"/>
          <w:szCs w:val="32"/>
        </w:rPr>
      </w:pPr>
      <w:r w:rsidRPr="005C5CF9">
        <w:rPr>
          <w:rFonts w:ascii="仿宋_GB2312" w:eastAsia="仿宋_GB2312" w:hAnsiTheme="minorEastAsia" w:hint="eastAsia"/>
          <w:b/>
          <w:sz w:val="32"/>
          <w:szCs w:val="32"/>
        </w:rPr>
        <w:t>策略：</w:t>
      </w:r>
      <w:r>
        <w:rPr>
          <w:rFonts w:ascii="仿宋_GB2312" w:eastAsia="仿宋_GB2312" w:hAnsiTheme="minorEastAsia" w:hint="eastAsia"/>
          <w:sz w:val="32"/>
          <w:szCs w:val="32"/>
        </w:rPr>
        <w:t>对于境外来款进行会计处理时标明“境外来款”字样，规则中心设置相应策略，有发生额则预警。同时财务处核实境外来款的来源、涉及人员、涉及项目，与重大问题及时上报。</w:t>
      </w:r>
    </w:p>
    <w:p w:rsidR="003774FE" w:rsidRPr="00A41BC1" w:rsidRDefault="00E207E7" w:rsidP="002C766D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A41BC1">
        <w:rPr>
          <w:rFonts w:ascii="仿宋_GB2312" w:eastAsia="仿宋_GB2312" w:hAnsiTheme="minorEastAsia" w:hint="eastAsia"/>
          <w:bCs/>
          <w:sz w:val="32"/>
          <w:szCs w:val="32"/>
        </w:rPr>
        <w:t>在系统运行过程中，</w:t>
      </w:r>
      <w:r w:rsidR="003C250B" w:rsidRPr="00A41BC1">
        <w:rPr>
          <w:rFonts w:ascii="仿宋_GB2312" w:eastAsia="仿宋_GB2312" w:hAnsiTheme="minorEastAsia" w:hint="eastAsia"/>
          <w:bCs/>
          <w:sz w:val="32"/>
          <w:szCs w:val="32"/>
        </w:rPr>
        <w:t>财务</w:t>
      </w:r>
      <w:proofErr w:type="gramStart"/>
      <w:r w:rsidR="003C250B" w:rsidRPr="00A41BC1">
        <w:rPr>
          <w:rFonts w:ascii="仿宋_GB2312" w:eastAsia="仿宋_GB2312" w:hAnsiTheme="minorEastAsia" w:hint="eastAsia"/>
          <w:bCs/>
          <w:sz w:val="32"/>
          <w:szCs w:val="32"/>
        </w:rPr>
        <w:t>处不断</w:t>
      </w:r>
      <w:proofErr w:type="gramEnd"/>
      <w:r w:rsidR="003C250B" w:rsidRPr="00A41BC1">
        <w:rPr>
          <w:rFonts w:ascii="仿宋_GB2312" w:eastAsia="仿宋_GB2312" w:hAnsiTheme="minorEastAsia" w:hint="eastAsia"/>
          <w:bCs/>
          <w:sz w:val="32"/>
          <w:szCs w:val="32"/>
        </w:rPr>
        <w:t>总结出现的问题和情况，及时变更、增加和减少</w:t>
      </w:r>
      <w:r w:rsidR="00572E6D" w:rsidRPr="00A41BC1">
        <w:rPr>
          <w:rFonts w:ascii="仿宋_GB2312" w:eastAsia="仿宋_GB2312" w:hAnsiTheme="minorEastAsia" w:hint="eastAsia"/>
          <w:bCs/>
          <w:sz w:val="32"/>
          <w:szCs w:val="32"/>
        </w:rPr>
        <w:t>监控内容和指标，报</w:t>
      </w:r>
      <w:r w:rsidRPr="00A41BC1">
        <w:rPr>
          <w:rFonts w:ascii="仿宋_GB2312" w:eastAsia="仿宋_GB2312" w:hAnsiTheme="minorEastAsia" w:hint="eastAsia"/>
          <w:bCs/>
          <w:sz w:val="32"/>
          <w:szCs w:val="32"/>
        </w:rPr>
        <w:t>领导小组</w:t>
      </w:r>
      <w:r w:rsidR="00572E6D" w:rsidRPr="00A41BC1">
        <w:rPr>
          <w:rFonts w:ascii="仿宋_GB2312" w:eastAsia="仿宋_GB2312" w:hAnsiTheme="minorEastAsia" w:hint="eastAsia"/>
          <w:bCs/>
          <w:sz w:val="32"/>
          <w:szCs w:val="32"/>
        </w:rPr>
        <w:t>批准后执行</w:t>
      </w:r>
      <w:r w:rsidRPr="00A41BC1">
        <w:rPr>
          <w:rFonts w:ascii="仿宋_GB2312" w:eastAsia="仿宋_GB2312" w:hAnsiTheme="minorEastAsia" w:hint="eastAsia"/>
          <w:bCs/>
          <w:sz w:val="32"/>
          <w:szCs w:val="32"/>
        </w:rPr>
        <w:t>。</w:t>
      </w:r>
    </w:p>
    <w:sectPr w:rsidR="003774FE" w:rsidRPr="00A41BC1" w:rsidSect="008830A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229" w:rsidRDefault="00A77229" w:rsidP="00FE109B">
      <w:r>
        <w:separator/>
      </w:r>
    </w:p>
  </w:endnote>
  <w:endnote w:type="continuationSeparator" w:id="0">
    <w:p w:rsidR="00A77229" w:rsidRDefault="00A77229" w:rsidP="00FE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 Neue">
    <w:altName w:val="Sylfaen"/>
    <w:charset w:val="00"/>
    <w:family w:val="auto"/>
    <w:pitch w:val="default"/>
    <w:sig w:usb0="E50002FF" w:usb1="500079DB" w:usb2="0000001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650261"/>
    </w:sdtPr>
    <w:sdtEndPr/>
    <w:sdtContent>
      <w:sdt>
        <w:sdtPr>
          <w:id w:val="24679093"/>
        </w:sdtPr>
        <w:sdtEndPr/>
        <w:sdtContent>
          <w:p w:rsidR="008830AD" w:rsidRDefault="001C1B1A">
            <w:pPr>
              <w:pStyle w:val="a3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9F4F6D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3C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9F4F6D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9F4F6D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3CAB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30AD" w:rsidRDefault="00A772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229" w:rsidRDefault="00A77229" w:rsidP="00FE109B">
      <w:r>
        <w:separator/>
      </w:r>
    </w:p>
  </w:footnote>
  <w:footnote w:type="continuationSeparator" w:id="0">
    <w:p w:rsidR="00A77229" w:rsidRDefault="00A77229" w:rsidP="00FE1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4C8E"/>
    <w:multiLevelType w:val="multilevel"/>
    <w:tmpl w:val="05774C8E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1A1A30"/>
    <w:multiLevelType w:val="multilevel"/>
    <w:tmpl w:val="161A1A30"/>
    <w:lvl w:ilvl="0">
      <w:start w:val="1"/>
      <w:numFmt w:val="bullet"/>
      <w:lvlText w:val=""/>
      <w:lvlJc w:val="left"/>
      <w:pPr>
        <w:ind w:left="141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16EA3152"/>
    <w:multiLevelType w:val="multilevel"/>
    <w:tmpl w:val="16EA3152"/>
    <w:lvl w:ilvl="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F2A5715"/>
    <w:multiLevelType w:val="multilevel"/>
    <w:tmpl w:val="1F2A5715"/>
    <w:lvl w:ilvl="0">
      <w:start w:val="1"/>
      <w:numFmt w:val="bullet"/>
      <w:lvlText w:val="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25962F9E"/>
    <w:multiLevelType w:val="multilevel"/>
    <w:tmpl w:val="25962F9E"/>
    <w:lvl w:ilvl="0">
      <w:start w:val="1"/>
      <w:numFmt w:val="bullet"/>
      <w:lvlText w:val=""/>
      <w:lvlJc w:val="left"/>
      <w:pPr>
        <w:ind w:left="98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5" w15:restartNumberingAfterBreak="0">
    <w:nsid w:val="27DA16ED"/>
    <w:multiLevelType w:val="multilevel"/>
    <w:tmpl w:val="27DA16ED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6" w15:restartNumberingAfterBreak="0">
    <w:nsid w:val="2BC14AFA"/>
    <w:multiLevelType w:val="multilevel"/>
    <w:tmpl w:val="2BC14AFA"/>
    <w:lvl w:ilvl="0">
      <w:start w:val="1"/>
      <w:numFmt w:val="bullet"/>
      <w:lvlText w:val=""/>
      <w:lvlJc w:val="left"/>
      <w:pPr>
        <w:ind w:left="13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7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00" w:hanging="420"/>
      </w:pPr>
      <w:rPr>
        <w:rFonts w:ascii="Wingdings" w:hAnsi="Wingdings" w:hint="default"/>
      </w:rPr>
    </w:lvl>
  </w:abstractNum>
  <w:abstractNum w:abstractNumId="7" w15:restartNumberingAfterBreak="0">
    <w:nsid w:val="2F9114F2"/>
    <w:multiLevelType w:val="multilevel"/>
    <w:tmpl w:val="2F9114F2"/>
    <w:lvl w:ilvl="0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5" w:hanging="420"/>
      </w:pPr>
    </w:lvl>
    <w:lvl w:ilvl="2">
      <w:start w:val="1"/>
      <w:numFmt w:val="lowerRoman"/>
      <w:lvlText w:val="%3."/>
      <w:lvlJc w:val="right"/>
      <w:pPr>
        <w:ind w:left="1545" w:hanging="420"/>
      </w:pPr>
    </w:lvl>
    <w:lvl w:ilvl="3">
      <w:start w:val="1"/>
      <w:numFmt w:val="decimal"/>
      <w:lvlText w:val="%4."/>
      <w:lvlJc w:val="left"/>
      <w:pPr>
        <w:ind w:left="1965" w:hanging="420"/>
      </w:pPr>
    </w:lvl>
    <w:lvl w:ilvl="4">
      <w:start w:val="1"/>
      <w:numFmt w:val="lowerLetter"/>
      <w:lvlText w:val="%5)"/>
      <w:lvlJc w:val="left"/>
      <w:pPr>
        <w:ind w:left="2385" w:hanging="420"/>
      </w:pPr>
    </w:lvl>
    <w:lvl w:ilvl="5">
      <w:start w:val="1"/>
      <w:numFmt w:val="lowerRoman"/>
      <w:lvlText w:val="%6."/>
      <w:lvlJc w:val="right"/>
      <w:pPr>
        <w:ind w:left="2805" w:hanging="420"/>
      </w:pPr>
    </w:lvl>
    <w:lvl w:ilvl="6">
      <w:start w:val="1"/>
      <w:numFmt w:val="decimal"/>
      <w:lvlText w:val="%7."/>
      <w:lvlJc w:val="left"/>
      <w:pPr>
        <w:ind w:left="3225" w:hanging="420"/>
      </w:pPr>
    </w:lvl>
    <w:lvl w:ilvl="7">
      <w:start w:val="1"/>
      <w:numFmt w:val="lowerLetter"/>
      <w:lvlText w:val="%8)"/>
      <w:lvlJc w:val="left"/>
      <w:pPr>
        <w:ind w:left="3645" w:hanging="420"/>
      </w:pPr>
    </w:lvl>
    <w:lvl w:ilvl="8">
      <w:start w:val="1"/>
      <w:numFmt w:val="lowerRoman"/>
      <w:lvlText w:val="%9."/>
      <w:lvlJc w:val="right"/>
      <w:pPr>
        <w:ind w:left="4065" w:hanging="420"/>
      </w:pPr>
    </w:lvl>
  </w:abstractNum>
  <w:abstractNum w:abstractNumId="8" w15:restartNumberingAfterBreak="0">
    <w:nsid w:val="346552C4"/>
    <w:multiLevelType w:val="multilevel"/>
    <w:tmpl w:val="346552C4"/>
    <w:lvl w:ilvl="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4C8431EC"/>
    <w:multiLevelType w:val="multilevel"/>
    <w:tmpl w:val="4C8431EC"/>
    <w:lvl w:ilvl="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4F860BB2"/>
    <w:multiLevelType w:val="multilevel"/>
    <w:tmpl w:val="4F860BB2"/>
    <w:lvl w:ilvl="0">
      <w:start w:val="1"/>
      <w:numFmt w:val="bullet"/>
      <w:lvlText w:val=""/>
      <w:lvlJc w:val="left"/>
      <w:pPr>
        <w:ind w:left="14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60" w:hanging="420"/>
      </w:pPr>
      <w:rPr>
        <w:rFonts w:ascii="Wingdings" w:hAnsi="Wingdings" w:hint="default"/>
      </w:rPr>
    </w:lvl>
  </w:abstractNum>
  <w:abstractNum w:abstractNumId="11" w15:restartNumberingAfterBreak="0">
    <w:nsid w:val="55265B97"/>
    <w:multiLevelType w:val="multilevel"/>
    <w:tmpl w:val="55265B97"/>
    <w:lvl w:ilvl="0">
      <w:start w:val="1"/>
      <w:numFmt w:val="bullet"/>
      <w:lvlText w:val=""/>
      <w:lvlJc w:val="left"/>
      <w:pPr>
        <w:ind w:left="14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60" w:hanging="420"/>
      </w:pPr>
      <w:rPr>
        <w:rFonts w:ascii="Wingdings" w:hAnsi="Wingdings" w:hint="default"/>
      </w:rPr>
    </w:lvl>
  </w:abstractNum>
  <w:abstractNum w:abstractNumId="12" w15:restartNumberingAfterBreak="0">
    <w:nsid w:val="589B06C9"/>
    <w:multiLevelType w:val="multilevel"/>
    <w:tmpl w:val="589B06C9"/>
    <w:lvl w:ilvl="0">
      <w:start w:val="1"/>
      <w:numFmt w:val="bullet"/>
      <w:lvlText w:val=""/>
      <w:lvlJc w:val="left"/>
      <w:pPr>
        <w:ind w:left="141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3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5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9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1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5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3" w15:restartNumberingAfterBreak="0">
    <w:nsid w:val="594D315D"/>
    <w:multiLevelType w:val="multilevel"/>
    <w:tmpl w:val="594D315D"/>
    <w:lvl w:ilvl="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4" w15:restartNumberingAfterBreak="0">
    <w:nsid w:val="5E439D84"/>
    <w:multiLevelType w:val="singleLevel"/>
    <w:tmpl w:val="5E439D84"/>
    <w:lvl w:ilvl="0">
      <w:start w:val="1"/>
      <w:numFmt w:val="decimal"/>
      <w:suff w:val="nothing"/>
      <w:lvlText w:val="%1."/>
      <w:lvlJc w:val="left"/>
    </w:lvl>
  </w:abstractNum>
  <w:abstractNum w:abstractNumId="15" w15:restartNumberingAfterBreak="0">
    <w:nsid w:val="5EF98667"/>
    <w:multiLevelType w:val="singleLevel"/>
    <w:tmpl w:val="5EF98667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6385444C"/>
    <w:multiLevelType w:val="multilevel"/>
    <w:tmpl w:val="6385444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9D7311C"/>
    <w:multiLevelType w:val="multilevel"/>
    <w:tmpl w:val="69D7311C"/>
    <w:lvl w:ilvl="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6A812DCA"/>
    <w:multiLevelType w:val="multilevel"/>
    <w:tmpl w:val="6A812DCA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9" w15:restartNumberingAfterBreak="0">
    <w:nsid w:val="75BE4067"/>
    <w:multiLevelType w:val="multilevel"/>
    <w:tmpl w:val="75BE4067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62B2690"/>
    <w:multiLevelType w:val="multilevel"/>
    <w:tmpl w:val="762B2690"/>
    <w:lvl w:ilvl="0">
      <w:start w:val="1"/>
      <w:numFmt w:val="bullet"/>
      <w:lvlText w:val=""/>
      <w:lvlJc w:val="left"/>
      <w:pPr>
        <w:ind w:left="13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7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00" w:hanging="420"/>
      </w:pPr>
      <w:rPr>
        <w:rFonts w:ascii="Wingdings" w:hAnsi="Wingdings" w:hint="default"/>
      </w:rPr>
    </w:lvl>
  </w:abstractNum>
  <w:abstractNum w:abstractNumId="21" w15:restartNumberingAfterBreak="0">
    <w:nsid w:val="7BC45BC1"/>
    <w:multiLevelType w:val="multilevel"/>
    <w:tmpl w:val="7BC45BC1"/>
    <w:lvl w:ilvl="0">
      <w:start w:val="1"/>
      <w:numFmt w:val="decimalEnclosedCircle"/>
      <w:lvlText w:val="%1"/>
      <w:lvlJc w:val="left"/>
      <w:pPr>
        <w:ind w:left="920" w:hanging="360"/>
      </w:pPr>
      <w:rPr>
        <w:rFonts w:ascii="仿宋" w:eastAsia="仿宋" w:hAnsi="仿宋" w:hint="default"/>
        <w:color w:val="000000" w:themeColor="text1"/>
        <w:sz w:val="28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6"/>
  </w:num>
  <w:num w:numId="2">
    <w:abstractNumId w:val="19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15"/>
  </w:num>
  <w:num w:numId="9">
    <w:abstractNumId w:val="11"/>
  </w:num>
  <w:num w:numId="10">
    <w:abstractNumId w:val="10"/>
  </w:num>
  <w:num w:numId="11">
    <w:abstractNumId w:val="17"/>
  </w:num>
  <w:num w:numId="12">
    <w:abstractNumId w:val="8"/>
  </w:num>
  <w:num w:numId="13">
    <w:abstractNumId w:val="12"/>
  </w:num>
  <w:num w:numId="14">
    <w:abstractNumId w:val="14"/>
  </w:num>
  <w:num w:numId="15">
    <w:abstractNumId w:val="21"/>
  </w:num>
  <w:num w:numId="16">
    <w:abstractNumId w:val="13"/>
  </w:num>
  <w:num w:numId="17">
    <w:abstractNumId w:val="20"/>
  </w:num>
  <w:num w:numId="18">
    <w:abstractNumId w:val="7"/>
  </w:num>
  <w:num w:numId="19">
    <w:abstractNumId w:val="2"/>
  </w:num>
  <w:num w:numId="20">
    <w:abstractNumId w:val="6"/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4FE"/>
    <w:rsid w:val="0001634D"/>
    <w:rsid w:val="0004249D"/>
    <w:rsid w:val="000429D4"/>
    <w:rsid w:val="0005116F"/>
    <w:rsid w:val="00076297"/>
    <w:rsid w:val="000B4B1A"/>
    <w:rsid w:val="000F6AB2"/>
    <w:rsid w:val="00104AF1"/>
    <w:rsid w:val="001632D4"/>
    <w:rsid w:val="001B70A8"/>
    <w:rsid w:val="001C17BE"/>
    <w:rsid w:val="001C1B1A"/>
    <w:rsid w:val="001D4F9B"/>
    <w:rsid w:val="001E68D8"/>
    <w:rsid w:val="0020271B"/>
    <w:rsid w:val="00230F21"/>
    <w:rsid w:val="002337D1"/>
    <w:rsid w:val="0024575B"/>
    <w:rsid w:val="00260909"/>
    <w:rsid w:val="002A27AF"/>
    <w:rsid w:val="002A573B"/>
    <w:rsid w:val="002C204C"/>
    <w:rsid w:val="002C766D"/>
    <w:rsid w:val="002F0BC3"/>
    <w:rsid w:val="002F2979"/>
    <w:rsid w:val="003171F1"/>
    <w:rsid w:val="00345CA3"/>
    <w:rsid w:val="00362BF6"/>
    <w:rsid w:val="00366A91"/>
    <w:rsid w:val="003774FE"/>
    <w:rsid w:val="003C250B"/>
    <w:rsid w:val="003C305D"/>
    <w:rsid w:val="003C7960"/>
    <w:rsid w:val="0040087B"/>
    <w:rsid w:val="00400E03"/>
    <w:rsid w:val="00407B71"/>
    <w:rsid w:val="004343D8"/>
    <w:rsid w:val="00465DAE"/>
    <w:rsid w:val="00477887"/>
    <w:rsid w:val="004928F9"/>
    <w:rsid w:val="004A40AE"/>
    <w:rsid w:val="004C03B9"/>
    <w:rsid w:val="004D2C4B"/>
    <w:rsid w:val="004D7D28"/>
    <w:rsid w:val="0050435E"/>
    <w:rsid w:val="00534C57"/>
    <w:rsid w:val="00557A83"/>
    <w:rsid w:val="005724BA"/>
    <w:rsid w:val="00572E6D"/>
    <w:rsid w:val="00573639"/>
    <w:rsid w:val="00580081"/>
    <w:rsid w:val="00587BED"/>
    <w:rsid w:val="00590121"/>
    <w:rsid w:val="00596A11"/>
    <w:rsid w:val="005C5CF9"/>
    <w:rsid w:val="0063235E"/>
    <w:rsid w:val="006478F2"/>
    <w:rsid w:val="00672491"/>
    <w:rsid w:val="00692E59"/>
    <w:rsid w:val="006B146A"/>
    <w:rsid w:val="006F681B"/>
    <w:rsid w:val="00704D1C"/>
    <w:rsid w:val="00715F7C"/>
    <w:rsid w:val="00720D83"/>
    <w:rsid w:val="00750106"/>
    <w:rsid w:val="00750A15"/>
    <w:rsid w:val="00792A75"/>
    <w:rsid w:val="00797BDD"/>
    <w:rsid w:val="007B7E80"/>
    <w:rsid w:val="007C1AD0"/>
    <w:rsid w:val="007D2731"/>
    <w:rsid w:val="0083283A"/>
    <w:rsid w:val="008348AC"/>
    <w:rsid w:val="00842F78"/>
    <w:rsid w:val="0086264A"/>
    <w:rsid w:val="00873F06"/>
    <w:rsid w:val="00880189"/>
    <w:rsid w:val="00881BD1"/>
    <w:rsid w:val="00882DE8"/>
    <w:rsid w:val="00890FCA"/>
    <w:rsid w:val="008A4C31"/>
    <w:rsid w:val="008E0248"/>
    <w:rsid w:val="008F299C"/>
    <w:rsid w:val="008F61FD"/>
    <w:rsid w:val="00900B91"/>
    <w:rsid w:val="009034BA"/>
    <w:rsid w:val="00915DAE"/>
    <w:rsid w:val="0092172B"/>
    <w:rsid w:val="00927EFE"/>
    <w:rsid w:val="009A1135"/>
    <w:rsid w:val="009A764B"/>
    <w:rsid w:val="009B20FA"/>
    <w:rsid w:val="009D00A7"/>
    <w:rsid w:val="009F4F6D"/>
    <w:rsid w:val="009F78A4"/>
    <w:rsid w:val="00A15006"/>
    <w:rsid w:val="00A41BC1"/>
    <w:rsid w:val="00A45F2B"/>
    <w:rsid w:val="00A647DB"/>
    <w:rsid w:val="00A7475A"/>
    <w:rsid w:val="00A77229"/>
    <w:rsid w:val="00AA7506"/>
    <w:rsid w:val="00AB1CCA"/>
    <w:rsid w:val="00AC6BB4"/>
    <w:rsid w:val="00AD5051"/>
    <w:rsid w:val="00B033AD"/>
    <w:rsid w:val="00B20EFD"/>
    <w:rsid w:val="00B339AD"/>
    <w:rsid w:val="00B53310"/>
    <w:rsid w:val="00B63233"/>
    <w:rsid w:val="00B921E1"/>
    <w:rsid w:val="00BA0FB5"/>
    <w:rsid w:val="00BE0DC8"/>
    <w:rsid w:val="00BE620E"/>
    <w:rsid w:val="00C064FA"/>
    <w:rsid w:val="00C10811"/>
    <w:rsid w:val="00C203F6"/>
    <w:rsid w:val="00C219D9"/>
    <w:rsid w:val="00C35CCF"/>
    <w:rsid w:val="00C455FB"/>
    <w:rsid w:val="00C45BDC"/>
    <w:rsid w:val="00C73CAB"/>
    <w:rsid w:val="00C91739"/>
    <w:rsid w:val="00C92668"/>
    <w:rsid w:val="00CA565F"/>
    <w:rsid w:val="00CD3306"/>
    <w:rsid w:val="00CD7E8C"/>
    <w:rsid w:val="00CF6750"/>
    <w:rsid w:val="00CF7768"/>
    <w:rsid w:val="00D13500"/>
    <w:rsid w:val="00D2071C"/>
    <w:rsid w:val="00D45D38"/>
    <w:rsid w:val="00D62E2F"/>
    <w:rsid w:val="00DB1176"/>
    <w:rsid w:val="00DB3BDC"/>
    <w:rsid w:val="00DB5948"/>
    <w:rsid w:val="00DF18FA"/>
    <w:rsid w:val="00E04010"/>
    <w:rsid w:val="00E0777F"/>
    <w:rsid w:val="00E11931"/>
    <w:rsid w:val="00E12736"/>
    <w:rsid w:val="00E207E7"/>
    <w:rsid w:val="00E50EB0"/>
    <w:rsid w:val="00E57A7B"/>
    <w:rsid w:val="00E62968"/>
    <w:rsid w:val="00E80C2E"/>
    <w:rsid w:val="00E849B8"/>
    <w:rsid w:val="00EA113D"/>
    <w:rsid w:val="00EB26AB"/>
    <w:rsid w:val="00EB78E1"/>
    <w:rsid w:val="00EB7CE7"/>
    <w:rsid w:val="00EC3C55"/>
    <w:rsid w:val="00EF7430"/>
    <w:rsid w:val="00F36848"/>
    <w:rsid w:val="00F44658"/>
    <w:rsid w:val="00FA0B06"/>
    <w:rsid w:val="00FB1EA3"/>
    <w:rsid w:val="00FB3FAD"/>
    <w:rsid w:val="00FD0563"/>
    <w:rsid w:val="00FD4697"/>
    <w:rsid w:val="00FE109B"/>
    <w:rsid w:val="00FE411D"/>
    <w:rsid w:val="00FE6929"/>
    <w:rsid w:val="00FF6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D72BF"/>
  <w15:docId w15:val="{E5034817-92D9-42C9-BD13-245ED3B5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74FE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774F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74F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774F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sid w:val="003774F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3774FE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3774F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footer"/>
    <w:basedOn w:val="a"/>
    <w:link w:val="a4"/>
    <w:uiPriority w:val="99"/>
    <w:unhideWhenUsed/>
    <w:qFormat/>
    <w:rsid w:val="00377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774FE"/>
    <w:rPr>
      <w:sz w:val="18"/>
      <w:szCs w:val="18"/>
    </w:rPr>
  </w:style>
  <w:style w:type="paragraph" w:styleId="a5">
    <w:name w:val="Title"/>
    <w:basedOn w:val="a"/>
    <w:next w:val="a"/>
    <w:link w:val="a6"/>
    <w:qFormat/>
    <w:rsid w:val="003774FE"/>
    <w:pPr>
      <w:pageBreakBefore/>
      <w:tabs>
        <w:tab w:val="left" w:pos="0"/>
      </w:tabs>
      <w:spacing w:before="240" w:after="120"/>
      <w:ind w:left="432" w:hanging="432"/>
      <w:outlineLvl w:val="0"/>
    </w:pPr>
    <w:rPr>
      <w:rFonts w:ascii="Cambria" w:eastAsia="仿宋_GB2312" w:hAnsi="Cambria"/>
      <w:b/>
      <w:bCs/>
      <w:sz w:val="36"/>
      <w:szCs w:val="32"/>
    </w:rPr>
  </w:style>
  <w:style w:type="character" w:customStyle="1" w:styleId="a6">
    <w:name w:val="标题 字符"/>
    <w:basedOn w:val="a0"/>
    <w:link w:val="a5"/>
    <w:qFormat/>
    <w:rsid w:val="003774FE"/>
    <w:rPr>
      <w:rFonts w:ascii="Cambria" w:eastAsia="仿宋_GB2312" w:hAnsi="Cambria"/>
      <w:b/>
      <w:bCs/>
      <w:sz w:val="36"/>
      <w:szCs w:val="32"/>
    </w:rPr>
  </w:style>
  <w:style w:type="character" w:styleId="a7">
    <w:name w:val="Hyperlink"/>
    <w:basedOn w:val="a0"/>
    <w:uiPriority w:val="99"/>
    <w:unhideWhenUsed/>
    <w:qFormat/>
    <w:rsid w:val="003774FE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3774FE"/>
    <w:pPr>
      <w:ind w:firstLineChars="200" w:firstLine="420"/>
    </w:pPr>
  </w:style>
  <w:style w:type="paragraph" w:customStyle="1" w:styleId="p3">
    <w:name w:val="p3"/>
    <w:basedOn w:val="a"/>
    <w:qFormat/>
    <w:rsid w:val="003774FE"/>
    <w:pPr>
      <w:jc w:val="left"/>
    </w:pPr>
    <w:rPr>
      <w:rFonts w:ascii="Helvetica Neue" w:eastAsia="Helvetica Neue" w:hAnsi="Helvetica Neue" w:cs="Times New Roman"/>
      <w:kern w:val="0"/>
      <w:sz w:val="24"/>
      <w:szCs w:val="24"/>
    </w:rPr>
  </w:style>
  <w:style w:type="paragraph" w:customStyle="1" w:styleId="p2">
    <w:name w:val="p2"/>
    <w:basedOn w:val="a"/>
    <w:qFormat/>
    <w:rsid w:val="003774FE"/>
    <w:pPr>
      <w:jc w:val="left"/>
    </w:pPr>
    <w:rPr>
      <w:rFonts w:ascii="Helvetica Neue" w:eastAsia="Helvetica Neue" w:hAnsi="Helvetica Neue"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774F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774FE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20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C203F6"/>
    <w:rPr>
      <w:sz w:val="18"/>
      <w:szCs w:val="18"/>
    </w:rPr>
  </w:style>
  <w:style w:type="character" w:styleId="ac">
    <w:name w:val="Strong"/>
    <w:basedOn w:val="a0"/>
    <w:uiPriority w:val="22"/>
    <w:qFormat/>
    <w:rsid w:val="001632D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陈家富</cp:lastModifiedBy>
  <cp:revision>3</cp:revision>
  <cp:lastPrinted>2021-06-02T09:03:00Z</cp:lastPrinted>
  <dcterms:created xsi:type="dcterms:W3CDTF">2021-09-01T08:29:00Z</dcterms:created>
  <dcterms:modified xsi:type="dcterms:W3CDTF">2021-09-01T08:45:00Z</dcterms:modified>
</cp:coreProperties>
</file>