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984"/>
        <w:gridCol w:w="1985"/>
        <w:gridCol w:w="2551"/>
      </w:tblGrid>
      <w:tr w:rsidR="00EA376F" w:rsidRPr="00EA376F" w14:paraId="74FCA00C" w14:textId="77777777" w:rsidTr="00EA376F">
        <w:tc>
          <w:tcPr>
            <w:tcW w:w="6516" w:type="dxa"/>
            <w:vAlign w:val="center"/>
          </w:tcPr>
          <w:p w14:paraId="26EAE03C" w14:textId="77777777" w:rsidR="00EA376F" w:rsidRPr="00EA376F" w:rsidRDefault="00EA376F" w:rsidP="00BD2480">
            <w:pPr>
              <w:jc w:val="center"/>
              <w:rPr>
                <w:rFonts w:ascii="Times New Roman" w:hAnsi="Times New Roman" w:cs="方正黑体简体"/>
                <w:sz w:val="28"/>
                <w:szCs w:val="28"/>
              </w:rPr>
            </w:pPr>
            <w:r w:rsidRPr="00EA376F">
              <w:rPr>
                <w:rFonts w:ascii="Times New Roman" w:hAnsi="Times New Roman" w:cs="方正黑体简体" w:hint="eastAsia"/>
                <w:sz w:val="28"/>
                <w:szCs w:val="28"/>
              </w:rPr>
              <w:t>项目名称</w:t>
            </w:r>
          </w:p>
        </w:tc>
        <w:tc>
          <w:tcPr>
            <w:tcW w:w="1984" w:type="dxa"/>
            <w:vAlign w:val="center"/>
          </w:tcPr>
          <w:p w14:paraId="1BA9340B" w14:textId="77777777" w:rsidR="00EA376F" w:rsidRPr="00EA376F" w:rsidRDefault="00EA376F" w:rsidP="00BD2480">
            <w:pPr>
              <w:jc w:val="center"/>
              <w:rPr>
                <w:rFonts w:ascii="Times New Roman" w:hAnsi="Times New Roman" w:cs="方正黑体简体"/>
                <w:sz w:val="28"/>
                <w:szCs w:val="28"/>
              </w:rPr>
            </w:pPr>
            <w:r w:rsidRPr="00EA376F">
              <w:rPr>
                <w:rFonts w:ascii="Times New Roman" w:hAnsi="Times New Roman" w:cs="方正黑体简体" w:hint="eastAsia"/>
                <w:sz w:val="28"/>
                <w:szCs w:val="28"/>
              </w:rPr>
              <w:t>类型与等级</w:t>
            </w:r>
          </w:p>
        </w:tc>
        <w:tc>
          <w:tcPr>
            <w:tcW w:w="1985" w:type="dxa"/>
            <w:vAlign w:val="center"/>
          </w:tcPr>
          <w:p w14:paraId="453E4018" w14:textId="13FC61AF" w:rsidR="00EA376F" w:rsidRPr="00EA376F" w:rsidRDefault="00EA376F" w:rsidP="00BD2480">
            <w:pPr>
              <w:jc w:val="center"/>
              <w:rPr>
                <w:rFonts w:ascii="Times New Roman" w:hAnsi="Times New Roman" w:cs="方正黑体简体"/>
                <w:sz w:val="28"/>
                <w:szCs w:val="28"/>
              </w:rPr>
            </w:pPr>
            <w:r w:rsidRPr="00EA376F">
              <w:rPr>
                <w:rFonts w:ascii="Times New Roman" w:hAnsi="Times New Roman" w:cs="方正黑体简体" w:hint="eastAsia"/>
                <w:sz w:val="28"/>
                <w:szCs w:val="28"/>
              </w:rPr>
              <w:t>完成单位</w:t>
            </w:r>
          </w:p>
        </w:tc>
        <w:tc>
          <w:tcPr>
            <w:tcW w:w="2551" w:type="dxa"/>
            <w:vAlign w:val="center"/>
          </w:tcPr>
          <w:p w14:paraId="002DB81B" w14:textId="242E7A80" w:rsidR="00EA376F" w:rsidRPr="00EA376F" w:rsidRDefault="00EA376F" w:rsidP="00BD2480">
            <w:pPr>
              <w:jc w:val="center"/>
              <w:rPr>
                <w:rFonts w:ascii="Times New Roman" w:hAnsi="Times New Roman" w:cs="方正黑体简体"/>
                <w:sz w:val="28"/>
                <w:szCs w:val="28"/>
              </w:rPr>
            </w:pPr>
            <w:r w:rsidRPr="00EA376F">
              <w:rPr>
                <w:rFonts w:ascii="Times New Roman" w:hAnsi="Times New Roman" w:cs="方正黑体简体" w:hint="eastAsia"/>
                <w:sz w:val="28"/>
                <w:szCs w:val="28"/>
              </w:rPr>
              <w:t>完成人</w:t>
            </w:r>
          </w:p>
        </w:tc>
      </w:tr>
      <w:tr w:rsidR="00EA376F" w:rsidRPr="00EA376F" w14:paraId="1E1A9658" w14:textId="77777777" w:rsidTr="00EA376F">
        <w:trPr>
          <w:trHeight w:val="1199"/>
        </w:trPr>
        <w:tc>
          <w:tcPr>
            <w:tcW w:w="6516" w:type="dxa"/>
            <w:vAlign w:val="center"/>
          </w:tcPr>
          <w:p w14:paraId="5E7DADDC" w14:textId="7B3FEAA0" w:rsidR="00EA376F" w:rsidRPr="00EA376F" w:rsidRDefault="002A6362" w:rsidP="00BD2480">
            <w:pPr>
              <w:snapToGrid w:val="0"/>
              <w:jc w:val="center"/>
              <w:rPr>
                <w:rFonts w:ascii="Times New Roman" w:hAnsi="Times New Roman" w:cs="方正仿宋简体"/>
                <w:sz w:val="28"/>
                <w:szCs w:val="28"/>
              </w:rPr>
            </w:pPr>
            <w:bookmarkStart w:id="0" w:name="_GoBack"/>
            <w:r w:rsidRPr="002A6362">
              <w:rPr>
                <w:rFonts w:ascii="Times New Roman" w:hAnsi="Times New Roman" w:cs="方正仿宋简体" w:hint="eastAsia"/>
                <w:sz w:val="28"/>
                <w:szCs w:val="28"/>
              </w:rPr>
              <w:t>高温</w:t>
            </w:r>
            <w:proofErr w:type="gramStart"/>
            <w:r w:rsidRPr="002A6362">
              <w:rPr>
                <w:rFonts w:ascii="Times New Roman" w:hAnsi="Times New Roman" w:cs="方正仿宋简体" w:hint="eastAsia"/>
                <w:sz w:val="28"/>
                <w:szCs w:val="28"/>
              </w:rPr>
              <w:t>短接触</w:t>
            </w:r>
            <w:proofErr w:type="gramEnd"/>
            <w:r w:rsidRPr="002A6362">
              <w:rPr>
                <w:rFonts w:ascii="Times New Roman" w:hAnsi="Times New Roman" w:cs="方正仿宋简体" w:hint="eastAsia"/>
                <w:sz w:val="28"/>
                <w:szCs w:val="28"/>
              </w:rPr>
              <w:t>多相反应器射流进料强化技术及装备</w:t>
            </w:r>
            <w:bookmarkEnd w:id="0"/>
          </w:p>
        </w:tc>
        <w:tc>
          <w:tcPr>
            <w:tcW w:w="1984" w:type="dxa"/>
            <w:vAlign w:val="center"/>
          </w:tcPr>
          <w:p w14:paraId="1683A6CB" w14:textId="77777777" w:rsidR="00EA376F" w:rsidRPr="00EA376F" w:rsidRDefault="00EA376F" w:rsidP="00BD2480">
            <w:pPr>
              <w:snapToGrid w:val="0"/>
              <w:jc w:val="center"/>
              <w:rPr>
                <w:rFonts w:ascii="Times New Roman" w:hAnsi="Times New Roman" w:cs="方正仿宋简体"/>
                <w:sz w:val="28"/>
                <w:szCs w:val="28"/>
              </w:rPr>
            </w:pPr>
            <w:r w:rsidRPr="00EA376F">
              <w:rPr>
                <w:rFonts w:ascii="Times New Roman" w:hAnsi="Times New Roman" w:cs="方正仿宋简体" w:hint="eastAsia"/>
                <w:sz w:val="28"/>
                <w:szCs w:val="28"/>
              </w:rPr>
              <w:t>技术发明</w:t>
            </w:r>
          </w:p>
          <w:p w14:paraId="53A2735D" w14:textId="77777777" w:rsidR="00EA376F" w:rsidRPr="00EA376F" w:rsidRDefault="00EA376F" w:rsidP="00BD2480">
            <w:pPr>
              <w:snapToGrid w:val="0"/>
              <w:jc w:val="center"/>
              <w:rPr>
                <w:rFonts w:ascii="Times New Roman" w:hAnsi="Times New Roman" w:cs="方正仿宋简体"/>
                <w:sz w:val="28"/>
                <w:szCs w:val="28"/>
              </w:rPr>
            </w:pPr>
            <w:r w:rsidRPr="00EA376F">
              <w:rPr>
                <w:rFonts w:ascii="Times New Roman" w:hAnsi="Times New Roman" w:cs="方正仿宋简体" w:hint="eastAsia"/>
                <w:sz w:val="28"/>
                <w:szCs w:val="28"/>
              </w:rPr>
              <w:t>一等奖</w:t>
            </w:r>
          </w:p>
        </w:tc>
        <w:tc>
          <w:tcPr>
            <w:tcW w:w="1985" w:type="dxa"/>
            <w:vAlign w:val="center"/>
          </w:tcPr>
          <w:p w14:paraId="1A30AAC7" w14:textId="77777777" w:rsidR="00EA376F" w:rsidRPr="00EA376F" w:rsidRDefault="00EA376F" w:rsidP="00BD2480">
            <w:pPr>
              <w:snapToGrid w:val="0"/>
              <w:jc w:val="center"/>
              <w:rPr>
                <w:rFonts w:ascii="Times New Roman" w:hAnsi="Times New Roman" w:cs="方正仿宋简体"/>
                <w:sz w:val="28"/>
                <w:szCs w:val="28"/>
              </w:rPr>
            </w:pPr>
            <w:r w:rsidRPr="00EA376F">
              <w:rPr>
                <w:rFonts w:ascii="Times New Roman" w:hAnsi="Times New Roman" w:cs="方正仿宋简体" w:hint="eastAsia"/>
                <w:sz w:val="28"/>
                <w:szCs w:val="28"/>
              </w:rPr>
              <w:t>中国石油大学（北京）</w:t>
            </w:r>
          </w:p>
        </w:tc>
        <w:tc>
          <w:tcPr>
            <w:tcW w:w="2551" w:type="dxa"/>
            <w:vAlign w:val="center"/>
          </w:tcPr>
          <w:p w14:paraId="58144EA9" w14:textId="7C939D29" w:rsidR="00EA376F" w:rsidRPr="00EA376F" w:rsidRDefault="002A6362" w:rsidP="00BA7C74">
            <w:pPr>
              <w:snapToGrid w:val="0"/>
              <w:jc w:val="left"/>
              <w:rPr>
                <w:rFonts w:ascii="Times New Roman" w:hAnsi="Times New Roman" w:cs="方正仿宋简体"/>
                <w:bCs/>
                <w:sz w:val="28"/>
                <w:szCs w:val="28"/>
              </w:rPr>
            </w:pPr>
            <w:r w:rsidRPr="002A6362">
              <w:rPr>
                <w:rFonts w:ascii="Times New Roman" w:hAnsi="Times New Roman" w:cs="方正仿宋简体" w:hint="eastAsia"/>
                <w:bCs/>
                <w:sz w:val="28"/>
                <w:szCs w:val="28"/>
              </w:rPr>
              <w:t>闫子涵，范怡平，卢春喜，姚秀颖，陈昇，刘梦溪，鄂承林，常明</w:t>
            </w:r>
          </w:p>
        </w:tc>
      </w:tr>
    </w:tbl>
    <w:p w14:paraId="46DDB2E5" w14:textId="261E3806" w:rsidR="005D74AC" w:rsidRPr="00EA376F" w:rsidRDefault="005D74AC">
      <w:pPr>
        <w:rPr>
          <w:rFonts w:ascii="Times New Roman" w:hAnsi="Times New Roman"/>
        </w:rPr>
      </w:pPr>
    </w:p>
    <w:p w14:paraId="70580882" w14:textId="14C070FF" w:rsidR="00263E70" w:rsidRPr="00EA376F" w:rsidRDefault="00EA376F">
      <w:pPr>
        <w:rPr>
          <w:rFonts w:ascii="Times New Roman" w:hAnsi="Times New Roman"/>
          <w:b/>
          <w:sz w:val="28"/>
          <w:szCs w:val="28"/>
        </w:rPr>
      </w:pPr>
      <w:r w:rsidRPr="00EA376F">
        <w:rPr>
          <w:rFonts w:ascii="Times New Roman" w:hAnsi="Times New Roman" w:hint="eastAsia"/>
          <w:b/>
          <w:sz w:val="28"/>
          <w:szCs w:val="28"/>
        </w:rPr>
        <w:t>1</w:t>
      </w:r>
      <w:r w:rsidRPr="00EA376F">
        <w:rPr>
          <w:rFonts w:ascii="Times New Roman" w:hAnsi="Times New Roman"/>
          <w:b/>
          <w:sz w:val="28"/>
          <w:szCs w:val="28"/>
        </w:rPr>
        <w:t xml:space="preserve">. </w:t>
      </w:r>
      <w:r w:rsidR="00263E70" w:rsidRPr="00EA376F">
        <w:rPr>
          <w:rFonts w:ascii="Times New Roman" w:hAnsi="Times New Roman" w:hint="eastAsia"/>
          <w:b/>
          <w:sz w:val="28"/>
          <w:szCs w:val="28"/>
        </w:rPr>
        <w:t>项目简介：</w:t>
      </w:r>
    </w:p>
    <w:p w14:paraId="28DDF4BC" w14:textId="77777777" w:rsidR="00EA376F" w:rsidRPr="00EA376F" w:rsidRDefault="00EA376F" w:rsidP="00EA376F">
      <w:pPr>
        <w:widowControl/>
        <w:spacing w:line="288" w:lineRule="auto"/>
        <w:ind w:firstLine="482"/>
        <w:rPr>
          <w:rFonts w:ascii="Times New Roman" w:hAnsi="Times New Roman"/>
          <w:kern w:val="0"/>
          <w:sz w:val="24"/>
        </w:rPr>
      </w:pPr>
      <w:bookmarkStart w:id="1" w:name="OLE_LINK7"/>
      <w:bookmarkStart w:id="2" w:name="OLE_LINK8"/>
      <w:bookmarkStart w:id="3" w:name="OLE_LINK11"/>
      <w:r w:rsidRPr="00EA376F">
        <w:rPr>
          <w:rFonts w:ascii="Times New Roman" w:hAnsi="Times New Roman" w:hint="eastAsia"/>
          <w:kern w:val="0"/>
          <w:sz w:val="24"/>
        </w:rPr>
        <w:t>在能源的绿色高效利用领域，常涉及气液、气固或气液固等高温</w:t>
      </w:r>
      <w:proofErr w:type="gramStart"/>
      <w:r w:rsidRPr="00EA376F">
        <w:rPr>
          <w:rFonts w:ascii="Times New Roman" w:hAnsi="Times New Roman" w:hint="eastAsia"/>
          <w:kern w:val="0"/>
          <w:sz w:val="24"/>
        </w:rPr>
        <w:t>短接触</w:t>
      </w:r>
      <w:proofErr w:type="gramEnd"/>
      <w:r w:rsidRPr="00EA376F">
        <w:rPr>
          <w:rFonts w:ascii="Times New Roman" w:hAnsi="Times New Roman" w:hint="eastAsia"/>
          <w:kern w:val="0"/>
          <w:sz w:val="24"/>
        </w:rPr>
        <w:t>多相催化反应过程，例如石化行业“减油增化”背景下的轻烃催化裂解、烷烃催化脱氢等工艺，煤化</w:t>
      </w:r>
      <w:proofErr w:type="gramStart"/>
      <w:r w:rsidRPr="00EA376F">
        <w:rPr>
          <w:rFonts w:ascii="Times New Roman" w:hAnsi="Times New Roman" w:hint="eastAsia"/>
          <w:kern w:val="0"/>
          <w:sz w:val="24"/>
        </w:rPr>
        <w:t>工领</w:t>
      </w:r>
      <w:proofErr w:type="gramEnd"/>
      <w:r w:rsidRPr="00EA376F">
        <w:rPr>
          <w:rFonts w:ascii="Times New Roman" w:hAnsi="Times New Roman" w:hint="eastAsia"/>
          <w:kern w:val="0"/>
          <w:sz w:val="24"/>
        </w:rPr>
        <w:t>域的甲醇制烯烃工艺，</w:t>
      </w:r>
      <w:bookmarkStart w:id="4" w:name="OLE_LINK9"/>
      <w:bookmarkStart w:id="5" w:name="OLE_LINK10"/>
      <w:r w:rsidRPr="00EA376F">
        <w:rPr>
          <w:rFonts w:ascii="Times New Roman" w:hAnsi="Times New Roman" w:hint="eastAsia"/>
          <w:kern w:val="0"/>
          <w:sz w:val="24"/>
        </w:rPr>
        <w:t>可再生能源领域的</w:t>
      </w:r>
      <w:bookmarkEnd w:id="4"/>
      <w:bookmarkEnd w:id="5"/>
      <w:r w:rsidRPr="00EA376F">
        <w:rPr>
          <w:rFonts w:ascii="Times New Roman" w:hAnsi="Times New Roman" w:hint="eastAsia"/>
          <w:kern w:val="0"/>
          <w:sz w:val="24"/>
        </w:rPr>
        <w:t>二氧化碳催化转化工艺，以及精细化工过程的催化缩合等工艺。</w:t>
      </w:r>
      <w:bookmarkEnd w:id="1"/>
      <w:bookmarkEnd w:id="2"/>
      <w:bookmarkEnd w:id="3"/>
      <w:r w:rsidRPr="00EA376F">
        <w:rPr>
          <w:rFonts w:ascii="Times New Roman" w:hAnsi="Times New Roman" w:hint="eastAsia"/>
          <w:kern w:val="0"/>
          <w:sz w:val="24"/>
        </w:rPr>
        <w:t>上述过程对反应环境的共性需求是：</w:t>
      </w:r>
      <w:bookmarkStart w:id="6" w:name="OLE_LINK26"/>
      <w:r w:rsidRPr="00EA376F">
        <w:rPr>
          <w:rFonts w:ascii="Times New Roman" w:hAnsi="Times New Roman" w:hint="eastAsia"/>
          <w:kern w:val="0"/>
          <w:sz w:val="24"/>
        </w:rPr>
        <w:t>构建原料入口区“瞬时全返混实现快速均匀混合”</w:t>
      </w:r>
      <w:r w:rsidRPr="00EA376F">
        <w:rPr>
          <w:rFonts w:ascii="Times New Roman" w:hAnsi="Times New Roman" w:hint="eastAsia"/>
          <w:kern w:val="0"/>
          <w:sz w:val="24"/>
        </w:rPr>
        <w:t>+</w:t>
      </w:r>
      <w:r w:rsidRPr="00EA376F">
        <w:rPr>
          <w:rFonts w:ascii="Times New Roman" w:hAnsi="Times New Roman" w:hint="eastAsia"/>
          <w:kern w:val="0"/>
          <w:sz w:val="24"/>
        </w:rPr>
        <w:t>主反应区“近似平推流以统一停留时间”的多区耦合环境</w:t>
      </w:r>
      <w:bookmarkEnd w:id="6"/>
      <w:r w:rsidRPr="00EA376F">
        <w:rPr>
          <w:rFonts w:ascii="Times New Roman" w:hAnsi="Times New Roman" w:hint="eastAsia"/>
          <w:kern w:val="0"/>
          <w:sz w:val="24"/>
        </w:rPr>
        <w:t>，从而在高温</w:t>
      </w:r>
      <w:proofErr w:type="gramStart"/>
      <w:r w:rsidRPr="00EA376F">
        <w:rPr>
          <w:rFonts w:ascii="Times New Roman" w:hAnsi="Times New Roman" w:hint="eastAsia"/>
          <w:kern w:val="0"/>
          <w:sz w:val="24"/>
        </w:rPr>
        <w:t>短接触</w:t>
      </w:r>
      <w:proofErr w:type="gramEnd"/>
      <w:r w:rsidRPr="00EA376F">
        <w:rPr>
          <w:rFonts w:ascii="Times New Roman" w:hAnsi="Times New Roman" w:hint="eastAsia"/>
          <w:kern w:val="0"/>
          <w:sz w:val="24"/>
        </w:rPr>
        <w:t>条件下精准控制反应路径、抑制副反应。如何通过反应器的优化设计达到这一要求是此类工艺实现传递</w:t>
      </w:r>
      <w:r w:rsidRPr="00EA376F">
        <w:rPr>
          <w:rFonts w:ascii="Times New Roman" w:hAnsi="Times New Roman" w:hint="eastAsia"/>
          <w:kern w:val="0"/>
          <w:sz w:val="24"/>
        </w:rPr>
        <w:t>-</w:t>
      </w:r>
      <w:r w:rsidRPr="00EA376F">
        <w:rPr>
          <w:rFonts w:ascii="Times New Roman" w:hAnsi="Times New Roman" w:hint="eastAsia"/>
          <w:kern w:val="0"/>
          <w:sz w:val="24"/>
        </w:rPr>
        <w:t>反应过程强化的关键。针对上述需求，通常利用湍流射流的强化传质优势，将待加工原料以高速射流的形式引入反应器与固体催化剂迅速混合并发生反应。因此，在反应器受限空间内，高速射流与多相流之间的接触和混合状况将直接影响传递过程的效率，进而影响反应产品质量。</w:t>
      </w:r>
    </w:p>
    <w:p w14:paraId="66028AAA" w14:textId="77777777" w:rsidR="00EA376F" w:rsidRPr="00EA376F" w:rsidRDefault="00EA376F" w:rsidP="00EA376F">
      <w:pPr>
        <w:widowControl/>
        <w:spacing w:line="288" w:lineRule="auto"/>
        <w:ind w:firstLine="482"/>
        <w:rPr>
          <w:rFonts w:ascii="Times New Roman" w:hAnsi="Times New Roman"/>
          <w:kern w:val="0"/>
          <w:sz w:val="24"/>
        </w:rPr>
      </w:pPr>
      <w:r w:rsidRPr="00EA376F">
        <w:rPr>
          <w:rFonts w:ascii="Times New Roman" w:hAnsi="Times New Roman" w:hint="eastAsia"/>
          <w:kern w:val="0"/>
          <w:sz w:val="24"/>
        </w:rPr>
        <w:t>由于高速射流与多相流在受限空间内的混合涉及不同量级的速度场以及三维多相流场的交叉耦合，过程极为复杂。要实现对其准确描述并加以调控利用，</w:t>
      </w:r>
      <w:bookmarkStart w:id="7" w:name="_Hlk228287986"/>
      <w:r w:rsidRPr="00EA376F">
        <w:rPr>
          <w:rFonts w:ascii="Times New Roman" w:hAnsi="Times New Roman" w:hint="eastAsia"/>
          <w:kern w:val="0"/>
          <w:sz w:val="24"/>
        </w:rPr>
        <w:t>必须要解决两方面的关键科学问题：一是通过揭示受限射流</w:t>
      </w:r>
      <w:r w:rsidRPr="00EA376F">
        <w:rPr>
          <w:rFonts w:ascii="Times New Roman" w:hAnsi="Times New Roman" w:hint="eastAsia"/>
          <w:kern w:val="0"/>
          <w:sz w:val="24"/>
        </w:rPr>
        <w:t>-</w:t>
      </w:r>
      <w:r w:rsidRPr="00EA376F">
        <w:rPr>
          <w:rFonts w:ascii="Times New Roman" w:hAnsi="Times New Roman" w:hint="eastAsia"/>
          <w:kern w:val="0"/>
          <w:sz w:val="24"/>
        </w:rPr>
        <w:t>多相流的交互作用机制实现反应物料与毫米级或微米级的催化剂等固体颗粒在直径数米、高度数十米工业反应器内的充分、迅速混合；二是结合多相流动、传递与反应的非线性耦合规律形成流型调控方法，实现进料段内流型的迅速转</w:t>
      </w:r>
      <w:proofErr w:type="gramStart"/>
      <w:r w:rsidRPr="00EA376F">
        <w:rPr>
          <w:rFonts w:ascii="Times New Roman" w:hAnsi="Times New Roman" w:hint="eastAsia"/>
          <w:kern w:val="0"/>
          <w:sz w:val="24"/>
        </w:rPr>
        <w:t>捩</w:t>
      </w:r>
      <w:proofErr w:type="gramEnd"/>
      <w:r w:rsidRPr="00EA376F">
        <w:rPr>
          <w:rFonts w:ascii="Times New Roman" w:hAnsi="Times New Roman" w:hint="eastAsia"/>
          <w:kern w:val="0"/>
          <w:sz w:val="24"/>
        </w:rPr>
        <w:t>衔接，在反应物与催化剂充分混合后创建平流推进的多相流动</w:t>
      </w:r>
      <w:proofErr w:type="gramStart"/>
      <w:r w:rsidRPr="00EA376F">
        <w:rPr>
          <w:rFonts w:ascii="Times New Roman" w:hAnsi="Times New Roman" w:hint="eastAsia"/>
          <w:kern w:val="0"/>
          <w:sz w:val="24"/>
        </w:rPr>
        <w:t>型态以精</w:t>
      </w:r>
      <w:proofErr w:type="gramEnd"/>
      <w:r w:rsidRPr="00EA376F">
        <w:rPr>
          <w:rFonts w:ascii="Times New Roman" w:hAnsi="Times New Roman" w:hint="eastAsia"/>
          <w:kern w:val="0"/>
          <w:sz w:val="24"/>
        </w:rPr>
        <w:t>准控制产品分布。</w:t>
      </w:r>
      <w:bookmarkEnd w:id="7"/>
      <w:r w:rsidRPr="00EA376F">
        <w:rPr>
          <w:rFonts w:ascii="Times New Roman" w:hAnsi="Times New Roman" w:hint="eastAsia"/>
          <w:kern w:val="0"/>
          <w:sz w:val="24"/>
        </w:rPr>
        <w:t>现有针对反应器进料强化的方法主要侧重于对进料喷嘴结构的改进，也包括部分在进料区增设内构件、进行</w:t>
      </w:r>
      <w:proofErr w:type="gramStart"/>
      <w:r w:rsidRPr="00EA376F">
        <w:rPr>
          <w:rFonts w:ascii="Times New Roman" w:hAnsi="Times New Roman" w:hint="eastAsia"/>
          <w:kern w:val="0"/>
          <w:sz w:val="24"/>
        </w:rPr>
        <w:t>反应器变径等</w:t>
      </w:r>
      <w:proofErr w:type="gramEnd"/>
      <w:r w:rsidRPr="00EA376F">
        <w:rPr>
          <w:rFonts w:ascii="Times New Roman" w:hAnsi="Times New Roman" w:hint="eastAsia"/>
          <w:kern w:val="0"/>
          <w:sz w:val="24"/>
        </w:rPr>
        <w:t>方法，但均难以同时满足“气固快速混合”和“流型快速转变”两方面的要求。</w:t>
      </w:r>
    </w:p>
    <w:p w14:paraId="3741A769" w14:textId="77777777" w:rsidR="00EA376F" w:rsidRPr="00EA376F" w:rsidRDefault="00EA376F" w:rsidP="00EA376F">
      <w:pPr>
        <w:widowControl/>
        <w:spacing w:line="288" w:lineRule="auto"/>
        <w:ind w:firstLine="482"/>
        <w:rPr>
          <w:rFonts w:ascii="Times New Roman" w:hAnsi="Times New Roman"/>
          <w:kern w:val="0"/>
          <w:sz w:val="24"/>
        </w:rPr>
      </w:pPr>
      <w:bookmarkStart w:id="8" w:name="OLE_LINK48"/>
      <w:bookmarkStart w:id="9" w:name="OLE_LINK46"/>
      <w:r w:rsidRPr="00EA376F">
        <w:rPr>
          <w:rFonts w:ascii="Times New Roman" w:hAnsi="Times New Roman" w:hint="eastAsia"/>
          <w:kern w:val="0"/>
          <w:sz w:val="24"/>
        </w:rPr>
        <w:t>为此，本项目以“矢量控制</w:t>
      </w:r>
      <w:r w:rsidRPr="00EA376F">
        <w:rPr>
          <w:rFonts w:ascii="Times New Roman" w:hAnsi="Times New Roman" w:hint="eastAsia"/>
          <w:kern w:val="0"/>
          <w:sz w:val="24"/>
        </w:rPr>
        <w:t>-</w:t>
      </w:r>
      <w:r w:rsidRPr="00EA376F">
        <w:rPr>
          <w:rFonts w:ascii="Times New Roman" w:hAnsi="Times New Roman" w:hint="eastAsia"/>
          <w:kern w:val="0"/>
          <w:sz w:val="24"/>
        </w:rPr>
        <w:t>流场分解</w:t>
      </w:r>
      <w:r w:rsidRPr="00EA376F">
        <w:rPr>
          <w:rFonts w:ascii="Times New Roman" w:hAnsi="Times New Roman" w:hint="eastAsia"/>
          <w:kern w:val="0"/>
          <w:sz w:val="24"/>
        </w:rPr>
        <w:t>-</w:t>
      </w:r>
      <w:r w:rsidRPr="00EA376F">
        <w:rPr>
          <w:rFonts w:ascii="Times New Roman" w:hAnsi="Times New Roman" w:hint="eastAsia"/>
          <w:kern w:val="0"/>
          <w:sz w:val="24"/>
        </w:rPr>
        <w:t>多尺度建模”理念为基础，首先从理论层面深入分析了进料段内非均匀流场梯度的形成机制、射流</w:t>
      </w:r>
      <w:r w:rsidRPr="00EA376F">
        <w:rPr>
          <w:rFonts w:ascii="Times New Roman" w:hAnsi="Times New Roman" w:hint="eastAsia"/>
          <w:kern w:val="0"/>
          <w:sz w:val="24"/>
        </w:rPr>
        <w:t>-</w:t>
      </w:r>
      <w:r w:rsidRPr="00EA376F">
        <w:rPr>
          <w:rFonts w:ascii="Times New Roman" w:hAnsi="Times New Roman" w:hint="eastAsia"/>
          <w:kern w:val="0"/>
          <w:sz w:val="24"/>
        </w:rPr>
        <w:t>多相流流场的耦合规律、以及复杂多相流场内</w:t>
      </w:r>
      <w:proofErr w:type="gramStart"/>
      <w:r w:rsidRPr="00EA376F">
        <w:rPr>
          <w:rFonts w:ascii="Times New Roman" w:hAnsi="Times New Roman" w:hint="eastAsia"/>
          <w:kern w:val="0"/>
          <w:sz w:val="24"/>
        </w:rPr>
        <w:t>介</w:t>
      </w:r>
      <w:proofErr w:type="gramEnd"/>
      <w:r w:rsidRPr="00EA376F">
        <w:rPr>
          <w:rFonts w:ascii="Times New Roman" w:hAnsi="Times New Roman" w:hint="eastAsia"/>
          <w:kern w:val="0"/>
          <w:sz w:val="24"/>
        </w:rPr>
        <w:t>尺度结构的表征方法，由此形成了</w:t>
      </w:r>
      <w:r w:rsidRPr="00EA376F">
        <w:rPr>
          <w:rFonts w:ascii="Times New Roman" w:hAnsi="Times New Roman" w:hint="eastAsia"/>
          <w:kern w:val="0"/>
          <w:sz w:val="24"/>
        </w:rPr>
        <w:t>3</w:t>
      </w:r>
      <w:r w:rsidRPr="00EA376F">
        <w:rPr>
          <w:rFonts w:ascii="Times New Roman" w:hAnsi="Times New Roman" w:hint="eastAsia"/>
          <w:kern w:val="0"/>
          <w:sz w:val="24"/>
        </w:rPr>
        <w:t>项理论创新。进而，以上述</w:t>
      </w:r>
      <w:r w:rsidRPr="00EA376F">
        <w:rPr>
          <w:rFonts w:ascii="Times New Roman" w:hAnsi="Times New Roman" w:hint="eastAsia"/>
          <w:kern w:val="0"/>
          <w:sz w:val="24"/>
        </w:rPr>
        <w:lastRenderedPageBreak/>
        <w:t>理论基础为支撑，针对快速多相反应过程进料装备所需的“强化混合”和“流型转捩”两方面要求，开发了结构简单、适用性广的</w:t>
      </w:r>
      <w:r w:rsidRPr="00EA376F">
        <w:rPr>
          <w:rFonts w:ascii="Times New Roman" w:hAnsi="Times New Roman" w:hint="eastAsia"/>
          <w:kern w:val="0"/>
          <w:sz w:val="24"/>
        </w:rPr>
        <w:t>3</w:t>
      </w:r>
      <w:r w:rsidRPr="00EA376F">
        <w:rPr>
          <w:rFonts w:ascii="Times New Roman" w:hAnsi="Times New Roman" w:hint="eastAsia"/>
          <w:kern w:val="0"/>
          <w:sz w:val="24"/>
        </w:rPr>
        <w:t>项创新技术，包括：</w:t>
      </w:r>
    </w:p>
    <w:p w14:paraId="4FE10DD4" w14:textId="5EDF4274" w:rsidR="00EA376F" w:rsidRPr="00EA376F" w:rsidRDefault="00EA376F" w:rsidP="00EA376F">
      <w:pPr>
        <w:widowControl/>
        <w:spacing w:line="288" w:lineRule="auto"/>
        <w:ind w:firstLine="482"/>
        <w:rPr>
          <w:rFonts w:ascii="Times New Roman" w:hAnsi="Times New Roman"/>
          <w:kern w:val="0"/>
          <w:sz w:val="24"/>
        </w:rPr>
      </w:pPr>
      <w:r w:rsidRPr="00EA376F">
        <w:rPr>
          <w:rFonts w:ascii="Times New Roman" w:hAnsi="Times New Roman" w:hint="eastAsia"/>
          <w:kern w:val="0"/>
          <w:sz w:val="24"/>
        </w:rPr>
        <w:t>（</w:t>
      </w:r>
      <w:r w:rsidRPr="00EA376F">
        <w:rPr>
          <w:rFonts w:ascii="Times New Roman" w:hAnsi="Times New Roman" w:hint="eastAsia"/>
          <w:kern w:val="0"/>
          <w:sz w:val="24"/>
        </w:rPr>
        <w:t>1</w:t>
      </w:r>
      <w:r w:rsidRPr="00EA376F">
        <w:rPr>
          <w:rFonts w:ascii="Times New Roman" w:hAnsi="Times New Roman" w:hint="eastAsia"/>
          <w:kern w:val="0"/>
          <w:sz w:val="24"/>
        </w:rPr>
        <w:t>）基于矢量优化的“二次流”利用技术；</w:t>
      </w:r>
    </w:p>
    <w:p w14:paraId="2674674E" w14:textId="04644849" w:rsidR="00EA376F" w:rsidRPr="00EA376F" w:rsidRDefault="00EA376F" w:rsidP="00EA376F">
      <w:pPr>
        <w:widowControl/>
        <w:spacing w:line="288" w:lineRule="auto"/>
        <w:ind w:firstLine="482"/>
        <w:rPr>
          <w:rFonts w:ascii="Times New Roman" w:hAnsi="Times New Roman"/>
          <w:kern w:val="0"/>
          <w:sz w:val="24"/>
        </w:rPr>
      </w:pPr>
      <w:r w:rsidRPr="00EA376F">
        <w:rPr>
          <w:rFonts w:ascii="Times New Roman" w:hAnsi="Times New Roman" w:hint="eastAsia"/>
          <w:kern w:val="0"/>
          <w:sz w:val="24"/>
        </w:rPr>
        <w:t>（</w:t>
      </w:r>
      <w:r w:rsidRPr="00EA376F">
        <w:rPr>
          <w:rFonts w:ascii="Times New Roman" w:hAnsi="Times New Roman" w:hint="eastAsia"/>
          <w:kern w:val="0"/>
          <w:sz w:val="24"/>
        </w:rPr>
        <w:t>2</w:t>
      </w:r>
      <w:r w:rsidRPr="00EA376F">
        <w:rPr>
          <w:rFonts w:ascii="Times New Roman" w:hAnsi="Times New Roman" w:hint="eastAsia"/>
          <w:kern w:val="0"/>
          <w:sz w:val="24"/>
        </w:rPr>
        <w:t>）基于逆向流场的多相流混合强化技术；</w:t>
      </w:r>
    </w:p>
    <w:p w14:paraId="298C3F8D" w14:textId="77777777" w:rsidR="00EA376F" w:rsidRPr="00EA376F" w:rsidRDefault="00EA376F" w:rsidP="00EA376F">
      <w:pPr>
        <w:widowControl/>
        <w:spacing w:line="288" w:lineRule="auto"/>
        <w:ind w:firstLine="482"/>
        <w:rPr>
          <w:rFonts w:ascii="Times New Roman" w:hAnsi="Times New Roman"/>
          <w:kern w:val="0"/>
          <w:sz w:val="24"/>
        </w:rPr>
      </w:pPr>
      <w:r w:rsidRPr="00EA376F">
        <w:rPr>
          <w:rFonts w:ascii="Times New Roman" w:hAnsi="Times New Roman" w:hint="eastAsia"/>
          <w:kern w:val="0"/>
          <w:sz w:val="24"/>
        </w:rPr>
        <w:t>（</w:t>
      </w:r>
      <w:r w:rsidRPr="00EA376F">
        <w:rPr>
          <w:rFonts w:ascii="Times New Roman" w:hAnsi="Times New Roman" w:hint="eastAsia"/>
          <w:kern w:val="0"/>
          <w:sz w:val="24"/>
        </w:rPr>
        <w:t>3</w:t>
      </w:r>
      <w:r w:rsidRPr="00EA376F">
        <w:rPr>
          <w:rFonts w:ascii="Times New Roman" w:hAnsi="Times New Roman" w:hint="eastAsia"/>
          <w:kern w:val="0"/>
          <w:sz w:val="24"/>
        </w:rPr>
        <w:t>）基于多场协同的射流流型调控技术。</w:t>
      </w:r>
    </w:p>
    <w:p w14:paraId="0A8E88B5" w14:textId="1635D07E" w:rsidR="00EA376F" w:rsidRPr="00EA376F" w:rsidRDefault="00EA376F" w:rsidP="00EA376F">
      <w:pPr>
        <w:widowControl/>
        <w:spacing w:line="288" w:lineRule="auto"/>
        <w:ind w:firstLine="482"/>
        <w:rPr>
          <w:rFonts w:ascii="Times New Roman" w:hAnsi="Times New Roman"/>
          <w:kern w:val="0"/>
          <w:sz w:val="24"/>
        </w:rPr>
      </w:pPr>
      <w:r w:rsidRPr="00EA376F">
        <w:rPr>
          <w:rFonts w:ascii="Times New Roman" w:hAnsi="Times New Roman" w:hint="eastAsia"/>
          <w:kern w:val="0"/>
          <w:sz w:val="24"/>
        </w:rPr>
        <w:t>上述技术方案可结合具体的反应工艺单独选用或组合使用，适用于快速床、提升管、下行床等典型快速多相反应装备的进料段。</w:t>
      </w:r>
    </w:p>
    <w:bookmarkEnd w:id="8"/>
    <w:bookmarkEnd w:id="9"/>
    <w:p w14:paraId="30BA4837" w14:textId="757121D8" w:rsidR="00263E70" w:rsidRPr="00EA376F" w:rsidRDefault="00263E70">
      <w:pPr>
        <w:rPr>
          <w:rFonts w:ascii="Times New Roman" w:hAnsi="Times New Roman"/>
        </w:rPr>
      </w:pPr>
    </w:p>
    <w:p w14:paraId="102C60B2" w14:textId="152B2D6B" w:rsidR="00263E70" w:rsidRPr="00EA376F" w:rsidRDefault="00EA376F">
      <w:pPr>
        <w:rPr>
          <w:rFonts w:ascii="Times New Roman" w:hAnsi="Times New Roman"/>
          <w:b/>
          <w:sz w:val="28"/>
          <w:szCs w:val="28"/>
        </w:rPr>
      </w:pPr>
      <w:r w:rsidRPr="00EA376F">
        <w:rPr>
          <w:rFonts w:ascii="Times New Roman" w:hAnsi="Times New Roman" w:hint="eastAsia"/>
          <w:b/>
          <w:sz w:val="28"/>
          <w:szCs w:val="28"/>
        </w:rPr>
        <w:t>2</w:t>
      </w:r>
      <w:r w:rsidRPr="00EA376F">
        <w:rPr>
          <w:rFonts w:ascii="Times New Roman" w:hAnsi="Times New Roman"/>
          <w:b/>
          <w:sz w:val="28"/>
          <w:szCs w:val="28"/>
        </w:rPr>
        <w:t xml:space="preserve">. </w:t>
      </w:r>
      <w:r w:rsidRPr="00EA376F">
        <w:rPr>
          <w:rFonts w:ascii="Times New Roman" w:hAnsi="Times New Roman" w:hint="eastAsia"/>
          <w:b/>
          <w:sz w:val="28"/>
          <w:szCs w:val="28"/>
        </w:rPr>
        <w:t>代表性成果详见“主要知识产权和标准规范等目录”</w:t>
      </w:r>
    </w:p>
    <w:p w14:paraId="347A21B6" w14:textId="77777777" w:rsidR="00EA376F" w:rsidRPr="00EA376F" w:rsidRDefault="00EA376F">
      <w:pPr>
        <w:rPr>
          <w:rFonts w:ascii="Times New Roman" w:hAnsi="Times New Roman"/>
        </w:rPr>
      </w:pPr>
    </w:p>
    <w:p w14:paraId="2DFD85B0" w14:textId="1A56FCA6" w:rsidR="00EA376F" w:rsidRPr="00EA376F" w:rsidRDefault="00EA376F">
      <w:pPr>
        <w:rPr>
          <w:rFonts w:ascii="Times New Roman" w:hAnsi="Times New Roman"/>
          <w:b/>
          <w:sz w:val="28"/>
          <w:szCs w:val="28"/>
        </w:rPr>
      </w:pPr>
      <w:r w:rsidRPr="00EA376F">
        <w:rPr>
          <w:rFonts w:ascii="Times New Roman" w:hAnsi="Times New Roman" w:hint="eastAsia"/>
          <w:b/>
          <w:sz w:val="28"/>
          <w:szCs w:val="28"/>
        </w:rPr>
        <w:t>3</w:t>
      </w:r>
      <w:r w:rsidRPr="00EA376F">
        <w:rPr>
          <w:rFonts w:ascii="Times New Roman" w:hAnsi="Times New Roman"/>
          <w:b/>
          <w:sz w:val="28"/>
          <w:szCs w:val="28"/>
        </w:rPr>
        <w:t xml:space="preserve">. </w:t>
      </w:r>
      <w:r w:rsidRPr="00EA376F">
        <w:rPr>
          <w:rFonts w:ascii="Times New Roman" w:hAnsi="Times New Roman" w:hint="eastAsia"/>
          <w:b/>
          <w:sz w:val="28"/>
          <w:szCs w:val="28"/>
        </w:rPr>
        <w:t>各完成人对本项目的实质性贡献详见“完成人合作关系情况汇总表”</w:t>
      </w:r>
    </w:p>
    <w:p w14:paraId="16271E5C" w14:textId="77777777" w:rsidR="00EA376F" w:rsidRPr="00EA376F" w:rsidRDefault="00EA376F">
      <w:pPr>
        <w:rPr>
          <w:rFonts w:ascii="Times New Roman" w:hAnsi="Times New Roman"/>
        </w:rPr>
      </w:pPr>
    </w:p>
    <w:p w14:paraId="09DF412B" w14:textId="77777777" w:rsidR="00EA376F" w:rsidRDefault="00EA376F" w:rsidP="00EA376F">
      <w:pPr>
        <w:spacing w:line="390" w:lineRule="exact"/>
        <w:jc w:val="center"/>
        <w:outlineLvl w:val="2"/>
        <w:rPr>
          <w:rFonts w:ascii="Times New Roman" w:hAnsi="Times New Roman"/>
          <w:b/>
          <w:color w:val="000000"/>
          <w:sz w:val="28"/>
          <w:szCs w:val="20"/>
        </w:rPr>
      </w:pPr>
    </w:p>
    <w:p w14:paraId="5DB56921" w14:textId="77777777" w:rsidR="00EA376F" w:rsidRDefault="00EA376F" w:rsidP="00EA376F">
      <w:pPr>
        <w:spacing w:line="390" w:lineRule="exact"/>
        <w:jc w:val="center"/>
        <w:outlineLvl w:val="2"/>
        <w:rPr>
          <w:rFonts w:ascii="Times New Roman" w:hAnsi="Times New Roman"/>
          <w:b/>
          <w:color w:val="000000"/>
          <w:sz w:val="28"/>
          <w:szCs w:val="20"/>
        </w:rPr>
      </w:pPr>
    </w:p>
    <w:p w14:paraId="6E1002CE" w14:textId="77777777" w:rsidR="00EA376F" w:rsidRDefault="00EA376F" w:rsidP="00EA376F">
      <w:pPr>
        <w:spacing w:line="390" w:lineRule="exact"/>
        <w:jc w:val="center"/>
        <w:outlineLvl w:val="2"/>
        <w:rPr>
          <w:rFonts w:ascii="Times New Roman" w:hAnsi="Times New Roman"/>
          <w:b/>
          <w:color w:val="000000"/>
          <w:sz w:val="28"/>
          <w:szCs w:val="20"/>
        </w:rPr>
      </w:pPr>
    </w:p>
    <w:p w14:paraId="35CAF5E6" w14:textId="77777777" w:rsidR="00EA376F" w:rsidRDefault="00EA376F" w:rsidP="00EA376F">
      <w:pPr>
        <w:spacing w:line="390" w:lineRule="exact"/>
        <w:jc w:val="center"/>
        <w:outlineLvl w:val="2"/>
        <w:rPr>
          <w:rFonts w:ascii="Times New Roman" w:hAnsi="Times New Roman"/>
          <w:b/>
          <w:color w:val="000000"/>
          <w:sz w:val="28"/>
          <w:szCs w:val="20"/>
        </w:rPr>
      </w:pPr>
    </w:p>
    <w:p w14:paraId="5FE9BA39" w14:textId="77777777" w:rsidR="00EA376F" w:rsidRDefault="00EA376F" w:rsidP="00EA376F">
      <w:pPr>
        <w:spacing w:line="390" w:lineRule="exact"/>
        <w:jc w:val="center"/>
        <w:outlineLvl w:val="2"/>
        <w:rPr>
          <w:rFonts w:ascii="Times New Roman" w:hAnsi="Times New Roman"/>
          <w:b/>
          <w:color w:val="000000"/>
          <w:sz w:val="28"/>
          <w:szCs w:val="20"/>
        </w:rPr>
      </w:pPr>
    </w:p>
    <w:p w14:paraId="44BEC610" w14:textId="77777777" w:rsidR="00EA376F" w:rsidRDefault="00EA376F" w:rsidP="00EA376F">
      <w:pPr>
        <w:spacing w:line="390" w:lineRule="exact"/>
        <w:jc w:val="center"/>
        <w:outlineLvl w:val="2"/>
        <w:rPr>
          <w:rFonts w:ascii="Times New Roman" w:hAnsi="Times New Roman"/>
          <w:b/>
          <w:color w:val="000000"/>
          <w:sz w:val="28"/>
          <w:szCs w:val="20"/>
        </w:rPr>
      </w:pPr>
    </w:p>
    <w:p w14:paraId="3D40C584" w14:textId="77777777" w:rsidR="00EA376F" w:rsidRDefault="00EA376F" w:rsidP="00EA376F">
      <w:pPr>
        <w:spacing w:line="390" w:lineRule="exact"/>
        <w:jc w:val="center"/>
        <w:outlineLvl w:val="2"/>
        <w:rPr>
          <w:rFonts w:ascii="Times New Roman" w:hAnsi="Times New Roman"/>
          <w:b/>
          <w:color w:val="000000"/>
          <w:sz w:val="28"/>
          <w:szCs w:val="20"/>
        </w:rPr>
      </w:pPr>
    </w:p>
    <w:p w14:paraId="30C1B83B" w14:textId="77777777" w:rsidR="00EA376F" w:rsidRDefault="00EA376F" w:rsidP="00EA376F">
      <w:pPr>
        <w:spacing w:line="390" w:lineRule="exact"/>
        <w:jc w:val="center"/>
        <w:outlineLvl w:val="2"/>
        <w:rPr>
          <w:rFonts w:ascii="Times New Roman" w:hAnsi="Times New Roman"/>
          <w:b/>
          <w:color w:val="000000"/>
          <w:sz w:val="28"/>
          <w:szCs w:val="20"/>
        </w:rPr>
      </w:pPr>
    </w:p>
    <w:p w14:paraId="3EEB1735" w14:textId="77777777" w:rsidR="00EA376F" w:rsidRDefault="00EA376F" w:rsidP="00EA376F">
      <w:pPr>
        <w:spacing w:line="390" w:lineRule="exact"/>
        <w:jc w:val="center"/>
        <w:outlineLvl w:val="2"/>
        <w:rPr>
          <w:rFonts w:ascii="Times New Roman" w:hAnsi="Times New Roman"/>
          <w:b/>
          <w:color w:val="000000"/>
          <w:sz w:val="28"/>
          <w:szCs w:val="20"/>
        </w:rPr>
      </w:pPr>
    </w:p>
    <w:p w14:paraId="24D2151A" w14:textId="77777777" w:rsidR="00EA376F" w:rsidRDefault="00EA376F" w:rsidP="00EA376F">
      <w:pPr>
        <w:spacing w:line="390" w:lineRule="exact"/>
        <w:jc w:val="center"/>
        <w:outlineLvl w:val="2"/>
        <w:rPr>
          <w:rFonts w:ascii="Times New Roman" w:hAnsi="Times New Roman"/>
          <w:b/>
          <w:color w:val="000000"/>
          <w:sz w:val="28"/>
          <w:szCs w:val="20"/>
        </w:rPr>
      </w:pPr>
    </w:p>
    <w:p w14:paraId="3A00211D" w14:textId="344831D6" w:rsidR="00EA376F" w:rsidRPr="00324603" w:rsidRDefault="00324603" w:rsidP="00EA376F">
      <w:pPr>
        <w:spacing w:line="390" w:lineRule="exact"/>
        <w:jc w:val="center"/>
        <w:outlineLvl w:val="2"/>
        <w:rPr>
          <w:rFonts w:ascii="Times New Roman" w:hAnsi="Times New Roman"/>
          <w:b/>
          <w:color w:val="000000"/>
          <w:sz w:val="28"/>
          <w:szCs w:val="20"/>
        </w:rPr>
      </w:pPr>
      <w:r w:rsidRPr="00324603">
        <w:rPr>
          <w:rFonts w:ascii="Times New Roman" w:hAnsi="Times New Roman" w:hint="eastAsia"/>
          <w:b/>
          <w:color w:val="000000"/>
          <w:sz w:val="28"/>
          <w:szCs w:val="20"/>
        </w:rPr>
        <w:lastRenderedPageBreak/>
        <w:t>主要知识产权和标准规范等目录</w:t>
      </w:r>
    </w:p>
    <w:tbl>
      <w:tblPr>
        <w:tblW w:w="127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7"/>
        <w:gridCol w:w="756"/>
        <w:gridCol w:w="1543"/>
        <w:gridCol w:w="1896"/>
        <w:gridCol w:w="1330"/>
        <w:gridCol w:w="1466"/>
        <w:gridCol w:w="1433"/>
        <w:gridCol w:w="1134"/>
        <w:gridCol w:w="708"/>
        <w:gridCol w:w="2002"/>
      </w:tblGrid>
      <w:tr w:rsidR="00EA376F" w:rsidRPr="00EA376F" w14:paraId="664CED8D" w14:textId="77777777" w:rsidTr="00BD2480">
        <w:trPr>
          <w:tblHeader/>
          <w:jc w:val="center"/>
        </w:trPr>
        <w:tc>
          <w:tcPr>
            <w:tcW w:w="457" w:type="dxa"/>
            <w:vAlign w:val="center"/>
          </w:tcPr>
          <w:p w14:paraId="3203190C"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b/>
                <w:color w:val="000000"/>
                <w:sz w:val="24"/>
                <w:szCs w:val="20"/>
              </w:rPr>
              <w:t>序号</w:t>
            </w:r>
          </w:p>
        </w:tc>
        <w:tc>
          <w:tcPr>
            <w:tcW w:w="756" w:type="dxa"/>
            <w:shd w:val="clear" w:color="auto" w:fill="auto"/>
            <w:vAlign w:val="center"/>
          </w:tcPr>
          <w:p w14:paraId="3BE4AE16"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类型</w:t>
            </w:r>
          </w:p>
        </w:tc>
        <w:tc>
          <w:tcPr>
            <w:tcW w:w="1543" w:type="dxa"/>
            <w:shd w:val="clear" w:color="auto" w:fill="auto"/>
            <w:vAlign w:val="center"/>
          </w:tcPr>
          <w:p w14:paraId="4EF75BD5"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名称</w:t>
            </w:r>
          </w:p>
        </w:tc>
        <w:tc>
          <w:tcPr>
            <w:tcW w:w="1896" w:type="dxa"/>
            <w:vAlign w:val="center"/>
          </w:tcPr>
          <w:p w14:paraId="028ACC0E"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授权号/编号</w:t>
            </w:r>
          </w:p>
        </w:tc>
        <w:tc>
          <w:tcPr>
            <w:tcW w:w="1330" w:type="dxa"/>
            <w:vAlign w:val="center"/>
          </w:tcPr>
          <w:p w14:paraId="21C2E81D"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授权/发布日期</w:t>
            </w:r>
          </w:p>
        </w:tc>
        <w:tc>
          <w:tcPr>
            <w:tcW w:w="1466" w:type="dxa"/>
            <w:shd w:val="clear" w:color="auto" w:fill="auto"/>
            <w:vAlign w:val="center"/>
          </w:tcPr>
          <w:p w14:paraId="4D4F6EC3"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权利人/起草单位</w:t>
            </w:r>
          </w:p>
        </w:tc>
        <w:tc>
          <w:tcPr>
            <w:tcW w:w="1433" w:type="dxa"/>
            <w:shd w:val="clear" w:color="auto" w:fill="auto"/>
            <w:vAlign w:val="center"/>
          </w:tcPr>
          <w:p w14:paraId="7B591198"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13"/>
              </w:rPr>
              <w:t>发明人/标准起草人</w:t>
            </w:r>
          </w:p>
        </w:tc>
        <w:tc>
          <w:tcPr>
            <w:tcW w:w="1134" w:type="dxa"/>
            <w:shd w:val="clear" w:color="auto" w:fill="auto"/>
            <w:vAlign w:val="center"/>
          </w:tcPr>
          <w:p w14:paraId="2304DD7F"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发证/发布机构</w:t>
            </w:r>
          </w:p>
        </w:tc>
        <w:tc>
          <w:tcPr>
            <w:tcW w:w="708" w:type="dxa"/>
            <w:shd w:val="clear" w:color="auto" w:fill="auto"/>
            <w:vAlign w:val="center"/>
          </w:tcPr>
          <w:p w14:paraId="0CB20C8F"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hint="eastAsia"/>
                <w:b/>
                <w:color w:val="000000"/>
                <w:sz w:val="24"/>
                <w:szCs w:val="20"/>
              </w:rPr>
              <w:t>有效状态</w:t>
            </w:r>
          </w:p>
        </w:tc>
        <w:tc>
          <w:tcPr>
            <w:tcW w:w="2002" w:type="dxa"/>
            <w:vAlign w:val="center"/>
          </w:tcPr>
          <w:p w14:paraId="25987F00" w14:textId="77777777" w:rsidR="00EA376F" w:rsidRPr="00EA376F" w:rsidRDefault="00EA376F" w:rsidP="00EA376F">
            <w:pPr>
              <w:snapToGrid w:val="0"/>
              <w:jc w:val="center"/>
              <w:rPr>
                <w:rFonts w:ascii="宋体" w:hAnsi="宋体"/>
                <w:b/>
                <w:color w:val="000000"/>
                <w:sz w:val="24"/>
                <w:szCs w:val="20"/>
              </w:rPr>
            </w:pPr>
            <w:r w:rsidRPr="00EA376F">
              <w:rPr>
                <w:rFonts w:ascii="宋体" w:hAnsi="宋体"/>
                <w:b/>
                <w:color w:val="000000"/>
                <w:sz w:val="24"/>
                <w:szCs w:val="20"/>
              </w:rPr>
              <w:t>与本项目的技术关联及贡献</w:t>
            </w:r>
          </w:p>
        </w:tc>
      </w:tr>
      <w:tr w:rsidR="00EA376F" w:rsidRPr="00EA376F" w14:paraId="268016B4" w14:textId="77777777" w:rsidTr="00BD2480">
        <w:trPr>
          <w:jc w:val="center"/>
        </w:trPr>
        <w:tc>
          <w:tcPr>
            <w:tcW w:w="457" w:type="dxa"/>
            <w:vAlign w:val="center"/>
          </w:tcPr>
          <w:p w14:paraId="30423029"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1</w:t>
            </w:r>
          </w:p>
        </w:tc>
        <w:tc>
          <w:tcPr>
            <w:tcW w:w="756" w:type="dxa"/>
            <w:vAlign w:val="center"/>
          </w:tcPr>
          <w:p w14:paraId="763E6AFC"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539B3A6F"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下行床反应器及其操作方法</w:t>
            </w:r>
          </w:p>
        </w:tc>
        <w:tc>
          <w:tcPr>
            <w:tcW w:w="1896" w:type="dxa"/>
            <w:vAlign w:val="center"/>
          </w:tcPr>
          <w:p w14:paraId="051D9BF4"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ZL202111074226.2</w:t>
            </w:r>
          </w:p>
        </w:tc>
        <w:tc>
          <w:tcPr>
            <w:tcW w:w="1330" w:type="dxa"/>
            <w:vAlign w:val="center"/>
          </w:tcPr>
          <w:p w14:paraId="5BF49B22"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2</w:t>
            </w:r>
            <w:r w:rsidRPr="00EA376F">
              <w:rPr>
                <w:rFonts w:ascii="宋体" w:hAnsi="宋体"/>
                <w:color w:val="000000"/>
                <w:szCs w:val="21"/>
              </w:rPr>
              <w:t>024.6.18</w:t>
            </w:r>
          </w:p>
        </w:tc>
        <w:tc>
          <w:tcPr>
            <w:tcW w:w="1466" w:type="dxa"/>
            <w:vAlign w:val="center"/>
          </w:tcPr>
          <w:p w14:paraId="51F049BB"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中国石油大学（北京）</w:t>
            </w:r>
          </w:p>
        </w:tc>
        <w:tc>
          <w:tcPr>
            <w:tcW w:w="1433" w:type="dxa"/>
            <w:vAlign w:val="center"/>
          </w:tcPr>
          <w:p w14:paraId="0A4977BC"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闫子涵、范怡平、卢春喜</w:t>
            </w:r>
          </w:p>
        </w:tc>
        <w:tc>
          <w:tcPr>
            <w:tcW w:w="1134" w:type="dxa"/>
            <w:vAlign w:val="center"/>
          </w:tcPr>
          <w:p w14:paraId="3F8310E2"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222B80AD"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79F426C4"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将逆向流场进料强化技术应用于快速多相反应装备的典型代表——下行床，对应本项目的技术创新2</w:t>
            </w:r>
          </w:p>
        </w:tc>
      </w:tr>
      <w:tr w:rsidR="00EA376F" w:rsidRPr="00EA376F" w14:paraId="289A9C40" w14:textId="77777777" w:rsidTr="00BD2480">
        <w:trPr>
          <w:jc w:val="center"/>
        </w:trPr>
        <w:tc>
          <w:tcPr>
            <w:tcW w:w="457" w:type="dxa"/>
            <w:vAlign w:val="center"/>
          </w:tcPr>
          <w:p w14:paraId="1AF3C7A4"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2</w:t>
            </w:r>
          </w:p>
        </w:tc>
        <w:tc>
          <w:tcPr>
            <w:tcW w:w="756" w:type="dxa"/>
            <w:vAlign w:val="center"/>
          </w:tcPr>
          <w:p w14:paraId="153EA6A9"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1F8C7132"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一种促进催化裂化提升管进料区油剂混合的新型助流剂技术</w:t>
            </w:r>
          </w:p>
        </w:tc>
        <w:tc>
          <w:tcPr>
            <w:tcW w:w="1896" w:type="dxa"/>
            <w:vAlign w:val="center"/>
          </w:tcPr>
          <w:p w14:paraId="69DF4FCC"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ZL201510666109.3</w:t>
            </w:r>
          </w:p>
        </w:tc>
        <w:tc>
          <w:tcPr>
            <w:tcW w:w="1330" w:type="dxa"/>
            <w:vAlign w:val="center"/>
          </w:tcPr>
          <w:p w14:paraId="37052DA3"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2</w:t>
            </w:r>
            <w:r w:rsidRPr="00EA376F">
              <w:rPr>
                <w:rFonts w:ascii="宋体" w:hAnsi="宋体"/>
                <w:color w:val="000000"/>
                <w:szCs w:val="21"/>
              </w:rPr>
              <w:t>023.12.19</w:t>
            </w:r>
          </w:p>
        </w:tc>
        <w:tc>
          <w:tcPr>
            <w:tcW w:w="1466" w:type="dxa"/>
            <w:vAlign w:val="center"/>
          </w:tcPr>
          <w:p w14:paraId="5CB4889A"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中国石油大学（北京）</w:t>
            </w:r>
          </w:p>
        </w:tc>
        <w:tc>
          <w:tcPr>
            <w:tcW w:w="1433" w:type="dxa"/>
            <w:vAlign w:val="center"/>
          </w:tcPr>
          <w:p w14:paraId="14E9533D" w14:textId="77777777" w:rsidR="00EA376F" w:rsidRPr="00EA376F" w:rsidRDefault="00EA376F" w:rsidP="00EA376F">
            <w:pPr>
              <w:snapToGrid w:val="0"/>
              <w:jc w:val="left"/>
              <w:rPr>
                <w:rFonts w:ascii="宋体" w:hAnsi="宋体"/>
                <w:color w:val="000000"/>
                <w:szCs w:val="21"/>
              </w:rPr>
            </w:pPr>
            <w:bookmarkStart w:id="10" w:name="OLE_LINK47"/>
            <w:bookmarkStart w:id="11" w:name="OLE_LINK54"/>
            <w:r w:rsidRPr="00EA376F">
              <w:rPr>
                <w:rFonts w:ascii="宋体" w:hAnsi="宋体" w:hint="eastAsia"/>
                <w:color w:val="000000"/>
                <w:szCs w:val="21"/>
              </w:rPr>
              <w:t>卢春喜、范怡平、陈昇、闫子涵、王维</w:t>
            </w:r>
            <w:bookmarkEnd w:id="10"/>
            <w:bookmarkEnd w:id="11"/>
          </w:p>
        </w:tc>
        <w:tc>
          <w:tcPr>
            <w:tcW w:w="1134" w:type="dxa"/>
            <w:vAlign w:val="center"/>
          </w:tcPr>
          <w:p w14:paraId="562B1616"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4DFB3C68"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3A4949A2"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将主副组合喷嘴灵活调控而形成的助流剂技术应用于快速多相反应装备的典型代表——提升管，对应本项目的技术创新</w:t>
            </w:r>
            <w:r w:rsidRPr="00EA376F">
              <w:rPr>
                <w:rFonts w:ascii="宋体" w:hAnsi="宋体"/>
                <w:color w:val="000000"/>
                <w:szCs w:val="21"/>
              </w:rPr>
              <w:t>3</w:t>
            </w:r>
          </w:p>
        </w:tc>
      </w:tr>
      <w:tr w:rsidR="00EA376F" w:rsidRPr="00EA376F" w14:paraId="3A6E0A32" w14:textId="77777777" w:rsidTr="00BD2480">
        <w:trPr>
          <w:jc w:val="center"/>
        </w:trPr>
        <w:tc>
          <w:tcPr>
            <w:tcW w:w="457" w:type="dxa"/>
            <w:vAlign w:val="center"/>
          </w:tcPr>
          <w:p w14:paraId="4E691944"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3</w:t>
            </w:r>
          </w:p>
        </w:tc>
        <w:tc>
          <w:tcPr>
            <w:tcW w:w="756" w:type="dxa"/>
            <w:vAlign w:val="center"/>
          </w:tcPr>
          <w:p w14:paraId="30FB33A0"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2FF84683"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抑制催化剂返混的催化裂化提升管进料混合段结构</w:t>
            </w:r>
          </w:p>
        </w:tc>
        <w:tc>
          <w:tcPr>
            <w:tcW w:w="1896" w:type="dxa"/>
            <w:vAlign w:val="center"/>
          </w:tcPr>
          <w:p w14:paraId="62B5CAB5"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ZL</w:t>
            </w:r>
            <w:bookmarkStart w:id="12" w:name="OLE_LINK41"/>
            <w:r w:rsidRPr="00EA376F">
              <w:rPr>
                <w:rFonts w:ascii="宋体" w:hAnsi="宋体"/>
                <w:color w:val="000000"/>
                <w:szCs w:val="21"/>
              </w:rPr>
              <w:t>201010557753.4</w:t>
            </w:r>
            <w:bookmarkEnd w:id="12"/>
          </w:p>
        </w:tc>
        <w:tc>
          <w:tcPr>
            <w:tcW w:w="1330" w:type="dxa"/>
            <w:vAlign w:val="center"/>
          </w:tcPr>
          <w:p w14:paraId="732E67A7"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2</w:t>
            </w:r>
            <w:r w:rsidRPr="00EA376F">
              <w:rPr>
                <w:rFonts w:ascii="宋体" w:hAnsi="宋体"/>
                <w:color w:val="000000"/>
                <w:szCs w:val="21"/>
              </w:rPr>
              <w:t>013.5.29</w:t>
            </w:r>
          </w:p>
        </w:tc>
        <w:tc>
          <w:tcPr>
            <w:tcW w:w="1466" w:type="dxa"/>
            <w:vAlign w:val="center"/>
          </w:tcPr>
          <w:p w14:paraId="564B7311"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洛阳森德石化工程有限公司</w:t>
            </w:r>
          </w:p>
        </w:tc>
        <w:tc>
          <w:tcPr>
            <w:tcW w:w="1433" w:type="dxa"/>
            <w:vAlign w:val="center"/>
          </w:tcPr>
          <w:p w14:paraId="278A47B1"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范怡平、许栋五</w:t>
            </w:r>
          </w:p>
        </w:tc>
        <w:tc>
          <w:tcPr>
            <w:tcW w:w="1134" w:type="dxa"/>
            <w:vAlign w:val="center"/>
          </w:tcPr>
          <w:p w14:paraId="7EED1615"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68751A17"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6F76C4EF"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将调控二次流的矢量优化技术应用于快速多相反应装备的典型代表——提升管，对应本项目的技术创新</w:t>
            </w:r>
            <w:r w:rsidRPr="00EA376F">
              <w:rPr>
                <w:rFonts w:ascii="宋体" w:hAnsi="宋体"/>
                <w:color w:val="000000"/>
                <w:szCs w:val="21"/>
              </w:rPr>
              <w:t>1</w:t>
            </w:r>
          </w:p>
        </w:tc>
      </w:tr>
      <w:tr w:rsidR="00EA376F" w:rsidRPr="00EA376F" w14:paraId="75D54FC5" w14:textId="77777777" w:rsidTr="00BD2480">
        <w:trPr>
          <w:jc w:val="center"/>
        </w:trPr>
        <w:tc>
          <w:tcPr>
            <w:tcW w:w="457" w:type="dxa"/>
            <w:vAlign w:val="center"/>
          </w:tcPr>
          <w:p w14:paraId="2A8A064B"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4</w:t>
            </w:r>
          </w:p>
        </w:tc>
        <w:tc>
          <w:tcPr>
            <w:tcW w:w="756" w:type="dxa"/>
            <w:vAlign w:val="center"/>
          </w:tcPr>
          <w:p w14:paraId="0C2034D4"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4A976ABA"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生物质流化床热解炭化耦合二氧化碳循环系统及方法</w:t>
            </w:r>
          </w:p>
        </w:tc>
        <w:tc>
          <w:tcPr>
            <w:tcW w:w="1896" w:type="dxa"/>
            <w:vAlign w:val="center"/>
          </w:tcPr>
          <w:p w14:paraId="2DE646E0"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ZL202411022909.7</w:t>
            </w:r>
          </w:p>
        </w:tc>
        <w:tc>
          <w:tcPr>
            <w:tcW w:w="1330" w:type="dxa"/>
            <w:vAlign w:val="center"/>
          </w:tcPr>
          <w:p w14:paraId="7639C907"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2</w:t>
            </w:r>
            <w:r w:rsidRPr="00EA376F">
              <w:rPr>
                <w:rFonts w:ascii="宋体" w:hAnsi="宋体"/>
                <w:color w:val="000000"/>
                <w:szCs w:val="21"/>
              </w:rPr>
              <w:t>025.9.19</w:t>
            </w:r>
          </w:p>
        </w:tc>
        <w:tc>
          <w:tcPr>
            <w:tcW w:w="1466" w:type="dxa"/>
            <w:vAlign w:val="center"/>
          </w:tcPr>
          <w:p w14:paraId="21E20097"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中国石油大学（北京）</w:t>
            </w:r>
          </w:p>
        </w:tc>
        <w:tc>
          <w:tcPr>
            <w:tcW w:w="1433" w:type="dxa"/>
            <w:vAlign w:val="center"/>
          </w:tcPr>
          <w:p w14:paraId="763D5BD2"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常明、刘梦溪</w:t>
            </w:r>
            <w:r w:rsidRPr="00EA376F">
              <w:rPr>
                <w:rFonts w:ascii="宋体" w:hAnsi="宋体"/>
                <w:color w:val="000000"/>
                <w:szCs w:val="21"/>
              </w:rPr>
              <w:t>、</w:t>
            </w:r>
            <w:r w:rsidRPr="00EA376F">
              <w:rPr>
                <w:rFonts w:ascii="宋体" w:hAnsi="宋体" w:hint="eastAsia"/>
                <w:color w:val="000000"/>
                <w:szCs w:val="21"/>
              </w:rPr>
              <w:t>卢春喜、徐春明、杨涛、常杰、芮振华、刘月亮、姜弘志</w:t>
            </w:r>
          </w:p>
        </w:tc>
        <w:tc>
          <w:tcPr>
            <w:tcW w:w="1134" w:type="dxa"/>
            <w:vAlign w:val="center"/>
          </w:tcPr>
          <w:p w14:paraId="2AF8859F"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1B2AE1D5"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57265D47"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将将逆向流场进料强化技术应用于生物质热解过程流化床反应器，对应本项目的技术创新2</w:t>
            </w:r>
          </w:p>
        </w:tc>
      </w:tr>
      <w:tr w:rsidR="00EA376F" w:rsidRPr="00EA376F" w14:paraId="715D2F78" w14:textId="77777777" w:rsidTr="00BD2480">
        <w:trPr>
          <w:jc w:val="center"/>
        </w:trPr>
        <w:tc>
          <w:tcPr>
            <w:tcW w:w="457" w:type="dxa"/>
            <w:vAlign w:val="center"/>
          </w:tcPr>
          <w:p w14:paraId="136236C0"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5</w:t>
            </w:r>
          </w:p>
        </w:tc>
        <w:tc>
          <w:tcPr>
            <w:tcW w:w="756" w:type="dxa"/>
            <w:vAlign w:val="center"/>
          </w:tcPr>
          <w:p w14:paraId="39DB12BB"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246A6581"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气</w:t>
            </w:r>
            <w:proofErr w:type="gramStart"/>
            <w:r w:rsidRPr="00EA376F">
              <w:rPr>
                <w:rFonts w:ascii="宋体" w:hAnsi="宋体" w:hint="eastAsia"/>
                <w:color w:val="000000"/>
                <w:szCs w:val="21"/>
              </w:rPr>
              <w:t>固反应</w:t>
            </w:r>
            <w:proofErr w:type="gramEnd"/>
            <w:r w:rsidRPr="00EA376F">
              <w:rPr>
                <w:rFonts w:ascii="宋体" w:hAnsi="宋体" w:hint="eastAsia"/>
                <w:color w:val="000000"/>
                <w:szCs w:val="21"/>
              </w:rPr>
              <w:t>装置以及气</w:t>
            </w:r>
            <w:proofErr w:type="gramStart"/>
            <w:r w:rsidRPr="00EA376F">
              <w:rPr>
                <w:rFonts w:ascii="宋体" w:hAnsi="宋体" w:hint="eastAsia"/>
                <w:color w:val="000000"/>
                <w:szCs w:val="21"/>
              </w:rPr>
              <w:t>固反</w:t>
            </w:r>
            <w:proofErr w:type="gramEnd"/>
            <w:r w:rsidRPr="00EA376F">
              <w:rPr>
                <w:rFonts w:ascii="宋体" w:hAnsi="宋体" w:hint="eastAsia"/>
                <w:color w:val="000000"/>
                <w:szCs w:val="21"/>
              </w:rPr>
              <w:t>应方法</w:t>
            </w:r>
          </w:p>
        </w:tc>
        <w:tc>
          <w:tcPr>
            <w:tcW w:w="1896" w:type="dxa"/>
            <w:vAlign w:val="center"/>
          </w:tcPr>
          <w:p w14:paraId="20C4C9FA"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ZL202411731594.3</w:t>
            </w:r>
          </w:p>
        </w:tc>
        <w:tc>
          <w:tcPr>
            <w:tcW w:w="1330" w:type="dxa"/>
            <w:vAlign w:val="center"/>
          </w:tcPr>
          <w:p w14:paraId="38853391"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2</w:t>
            </w:r>
            <w:r w:rsidRPr="00EA376F">
              <w:rPr>
                <w:rFonts w:ascii="宋体" w:hAnsi="宋体"/>
                <w:color w:val="000000"/>
                <w:szCs w:val="21"/>
              </w:rPr>
              <w:t>025.10.10</w:t>
            </w:r>
          </w:p>
        </w:tc>
        <w:tc>
          <w:tcPr>
            <w:tcW w:w="1466" w:type="dxa"/>
            <w:vAlign w:val="center"/>
          </w:tcPr>
          <w:p w14:paraId="691820E8"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中国石油大学（北京）</w:t>
            </w:r>
          </w:p>
        </w:tc>
        <w:tc>
          <w:tcPr>
            <w:tcW w:w="1433" w:type="dxa"/>
            <w:vAlign w:val="center"/>
          </w:tcPr>
          <w:p w14:paraId="5DB35F50"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闫子涵、郑志航、卢春喜</w:t>
            </w:r>
          </w:p>
        </w:tc>
        <w:tc>
          <w:tcPr>
            <w:tcW w:w="1134" w:type="dxa"/>
            <w:vAlign w:val="center"/>
          </w:tcPr>
          <w:p w14:paraId="455C63A4"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046773C8"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0FD17409"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将逆向流场进料强化技术应用于硅碳负极材料生产装备的原料进料系统，对</w:t>
            </w:r>
            <w:r w:rsidRPr="00EA376F">
              <w:rPr>
                <w:rFonts w:ascii="宋体" w:hAnsi="宋体" w:hint="eastAsia"/>
                <w:color w:val="000000"/>
                <w:szCs w:val="21"/>
              </w:rPr>
              <w:lastRenderedPageBreak/>
              <w:t>应本项目的技术创新2</w:t>
            </w:r>
          </w:p>
        </w:tc>
      </w:tr>
      <w:tr w:rsidR="00EA376F" w:rsidRPr="00EA376F" w14:paraId="7178421C" w14:textId="77777777" w:rsidTr="00BD2480">
        <w:trPr>
          <w:jc w:val="center"/>
        </w:trPr>
        <w:tc>
          <w:tcPr>
            <w:tcW w:w="457" w:type="dxa"/>
            <w:vAlign w:val="center"/>
          </w:tcPr>
          <w:p w14:paraId="1EF30342"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lastRenderedPageBreak/>
              <w:t>6</w:t>
            </w:r>
          </w:p>
        </w:tc>
        <w:tc>
          <w:tcPr>
            <w:tcW w:w="756" w:type="dxa"/>
            <w:vAlign w:val="center"/>
          </w:tcPr>
          <w:p w14:paraId="6BD0CDC5"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4472F3C1"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适用于超细颗粒气相沉积的反应器</w:t>
            </w:r>
          </w:p>
        </w:tc>
        <w:tc>
          <w:tcPr>
            <w:tcW w:w="1896" w:type="dxa"/>
            <w:vAlign w:val="center"/>
          </w:tcPr>
          <w:p w14:paraId="08FE1041"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ZL202420118689.7</w:t>
            </w:r>
          </w:p>
        </w:tc>
        <w:tc>
          <w:tcPr>
            <w:tcW w:w="1330" w:type="dxa"/>
            <w:vAlign w:val="center"/>
          </w:tcPr>
          <w:p w14:paraId="15C238A0"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2</w:t>
            </w:r>
            <w:r w:rsidRPr="00EA376F">
              <w:rPr>
                <w:rFonts w:ascii="宋体" w:hAnsi="宋体"/>
                <w:color w:val="000000"/>
                <w:szCs w:val="21"/>
              </w:rPr>
              <w:t>024.9.27</w:t>
            </w:r>
          </w:p>
        </w:tc>
        <w:tc>
          <w:tcPr>
            <w:tcW w:w="1466" w:type="dxa"/>
            <w:vAlign w:val="center"/>
          </w:tcPr>
          <w:p w14:paraId="57030FA4"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中国石油大学（北京）</w:t>
            </w:r>
          </w:p>
        </w:tc>
        <w:tc>
          <w:tcPr>
            <w:tcW w:w="1433" w:type="dxa"/>
            <w:vAlign w:val="center"/>
          </w:tcPr>
          <w:p w14:paraId="2B7BE54A"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卢春喜、闫子涵、范怡平、刘梦溪、鄂承林、姚秀颖</w:t>
            </w:r>
          </w:p>
        </w:tc>
        <w:tc>
          <w:tcPr>
            <w:tcW w:w="1134" w:type="dxa"/>
            <w:vAlign w:val="center"/>
          </w:tcPr>
          <w:p w14:paraId="4B181223"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757CA2C7"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497D92DF"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将主副组合喷嘴组合进料调控技术应用于硅碳负极材料生产装备的原料进料系统，对应本项目的技术创新3</w:t>
            </w:r>
          </w:p>
        </w:tc>
      </w:tr>
      <w:tr w:rsidR="00EA376F" w:rsidRPr="00EA376F" w14:paraId="59DAA712" w14:textId="77777777" w:rsidTr="00BD2480">
        <w:trPr>
          <w:jc w:val="center"/>
        </w:trPr>
        <w:tc>
          <w:tcPr>
            <w:tcW w:w="457" w:type="dxa"/>
            <w:vAlign w:val="center"/>
          </w:tcPr>
          <w:p w14:paraId="2D8D28DB" w14:textId="77777777" w:rsidR="00EA376F" w:rsidRPr="00EA376F" w:rsidRDefault="00EA376F" w:rsidP="00EA376F">
            <w:pPr>
              <w:snapToGrid w:val="0"/>
              <w:jc w:val="center"/>
              <w:rPr>
                <w:rFonts w:ascii="宋体" w:hAnsi="宋体"/>
                <w:color w:val="000000"/>
                <w:szCs w:val="21"/>
              </w:rPr>
            </w:pPr>
            <w:r w:rsidRPr="00EA376F">
              <w:rPr>
                <w:rFonts w:ascii="宋体" w:hAnsi="宋体"/>
                <w:color w:val="000000"/>
                <w:szCs w:val="21"/>
              </w:rPr>
              <w:t>7</w:t>
            </w:r>
          </w:p>
        </w:tc>
        <w:tc>
          <w:tcPr>
            <w:tcW w:w="756" w:type="dxa"/>
            <w:vAlign w:val="center"/>
          </w:tcPr>
          <w:p w14:paraId="1B6516A1"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专利</w:t>
            </w:r>
          </w:p>
        </w:tc>
        <w:tc>
          <w:tcPr>
            <w:tcW w:w="1543" w:type="dxa"/>
            <w:vAlign w:val="center"/>
          </w:tcPr>
          <w:p w14:paraId="1021D364"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一种抑制催化剂返混的催化裂化提升管进料混合段结构</w:t>
            </w:r>
          </w:p>
        </w:tc>
        <w:tc>
          <w:tcPr>
            <w:tcW w:w="1896" w:type="dxa"/>
            <w:vAlign w:val="center"/>
          </w:tcPr>
          <w:p w14:paraId="7CB75FF1" w14:textId="77777777" w:rsidR="00EA376F" w:rsidRPr="00EA376F" w:rsidRDefault="00EA376F" w:rsidP="00EA376F">
            <w:pPr>
              <w:snapToGrid w:val="0"/>
              <w:jc w:val="center"/>
              <w:rPr>
                <w:rFonts w:ascii="宋体" w:hAnsi="宋体"/>
                <w:color w:val="000000"/>
                <w:szCs w:val="21"/>
              </w:rPr>
            </w:pPr>
            <w:bookmarkStart w:id="13" w:name="OLE_LINK42"/>
            <w:r w:rsidRPr="00EA376F">
              <w:rPr>
                <w:rFonts w:ascii="宋体" w:hAnsi="宋体"/>
                <w:color w:val="000000"/>
                <w:szCs w:val="21"/>
              </w:rPr>
              <w:t>ZL</w:t>
            </w:r>
            <w:bookmarkStart w:id="14" w:name="OLE_LINK43"/>
            <w:r w:rsidRPr="00EA376F">
              <w:rPr>
                <w:rFonts w:ascii="宋体" w:hAnsi="宋体"/>
                <w:color w:val="000000"/>
                <w:szCs w:val="21"/>
              </w:rPr>
              <w:t>201010557774.6</w:t>
            </w:r>
            <w:bookmarkEnd w:id="13"/>
            <w:bookmarkEnd w:id="14"/>
          </w:p>
        </w:tc>
        <w:tc>
          <w:tcPr>
            <w:tcW w:w="1330" w:type="dxa"/>
            <w:vAlign w:val="center"/>
          </w:tcPr>
          <w:p w14:paraId="21E89EBB" w14:textId="08178E26" w:rsidR="00EA376F" w:rsidRPr="00EA376F" w:rsidRDefault="002A6362" w:rsidP="00EA376F">
            <w:pPr>
              <w:snapToGrid w:val="0"/>
              <w:jc w:val="center"/>
              <w:rPr>
                <w:rFonts w:ascii="宋体" w:hAnsi="宋体"/>
                <w:color w:val="000000"/>
                <w:szCs w:val="21"/>
              </w:rPr>
            </w:pPr>
            <w:r>
              <w:rPr>
                <w:rFonts w:ascii="宋体" w:hAnsi="宋体" w:hint="eastAsia"/>
                <w:color w:val="000000"/>
                <w:szCs w:val="21"/>
              </w:rPr>
              <w:t>2</w:t>
            </w:r>
            <w:r>
              <w:rPr>
                <w:rFonts w:ascii="宋体" w:hAnsi="宋体"/>
                <w:color w:val="000000"/>
                <w:szCs w:val="21"/>
              </w:rPr>
              <w:t>013.5.29</w:t>
            </w:r>
          </w:p>
        </w:tc>
        <w:tc>
          <w:tcPr>
            <w:tcW w:w="1466" w:type="dxa"/>
            <w:vAlign w:val="center"/>
          </w:tcPr>
          <w:p w14:paraId="741E4146"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洛阳森德石化工程有限公司</w:t>
            </w:r>
          </w:p>
        </w:tc>
        <w:tc>
          <w:tcPr>
            <w:tcW w:w="1433" w:type="dxa"/>
            <w:vAlign w:val="center"/>
          </w:tcPr>
          <w:p w14:paraId="47BB165C" w14:textId="77777777" w:rsidR="00EA376F" w:rsidRPr="00EA376F" w:rsidRDefault="00EA376F" w:rsidP="00EA376F">
            <w:pPr>
              <w:snapToGrid w:val="0"/>
              <w:jc w:val="left"/>
              <w:rPr>
                <w:rFonts w:ascii="宋体" w:hAnsi="宋体"/>
                <w:color w:val="000000"/>
                <w:szCs w:val="21"/>
              </w:rPr>
            </w:pPr>
            <w:r w:rsidRPr="00EA376F">
              <w:rPr>
                <w:rFonts w:ascii="宋体" w:hAnsi="宋体" w:hint="eastAsia"/>
                <w:color w:val="000000"/>
                <w:szCs w:val="21"/>
              </w:rPr>
              <w:t>范怡平、许栋五</w:t>
            </w:r>
          </w:p>
        </w:tc>
        <w:tc>
          <w:tcPr>
            <w:tcW w:w="1134" w:type="dxa"/>
            <w:vAlign w:val="center"/>
          </w:tcPr>
          <w:p w14:paraId="6F55B20B"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国家知识产权局</w:t>
            </w:r>
          </w:p>
        </w:tc>
        <w:tc>
          <w:tcPr>
            <w:tcW w:w="708" w:type="dxa"/>
            <w:vAlign w:val="center"/>
          </w:tcPr>
          <w:p w14:paraId="459C3C0B" w14:textId="77777777" w:rsidR="00EA376F" w:rsidRPr="00EA376F" w:rsidRDefault="00EA376F" w:rsidP="00EA376F">
            <w:pPr>
              <w:snapToGrid w:val="0"/>
              <w:jc w:val="center"/>
              <w:rPr>
                <w:rFonts w:ascii="宋体" w:hAnsi="宋体"/>
                <w:color w:val="000000"/>
                <w:szCs w:val="21"/>
              </w:rPr>
            </w:pPr>
            <w:r w:rsidRPr="00EA376F">
              <w:rPr>
                <w:rFonts w:ascii="宋体" w:hAnsi="宋体" w:hint="eastAsia"/>
                <w:color w:val="000000"/>
                <w:szCs w:val="21"/>
              </w:rPr>
              <w:t>有权</w:t>
            </w:r>
          </w:p>
        </w:tc>
        <w:tc>
          <w:tcPr>
            <w:tcW w:w="2002" w:type="dxa"/>
            <w:vAlign w:val="center"/>
          </w:tcPr>
          <w:p w14:paraId="15B84924" w14:textId="77777777" w:rsidR="00EA376F" w:rsidRPr="00EA376F" w:rsidRDefault="00EA376F" w:rsidP="00EA376F">
            <w:pPr>
              <w:snapToGrid w:val="0"/>
              <w:rPr>
                <w:rFonts w:ascii="宋体" w:hAnsi="宋体"/>
                <w:color w:val="000000"/>
                <w:szCs w:val="21"/>
              </w:rPr>
            </w:pPr>
            <w:r w:rsidRPr="00EA376F">
              <w:rPr>
                <w:rFonts w:ascii="宋体" w:hAnsi="宋体" w:hint="eastAsia"/>
                <w:color w:val="000000"/>
                <w:szCs w:val="21"/>
              </w:rPr>
              <w:t>将调控二次流的矢量优化技术应用于快速多相反应装备的典型代表——提升管，对应本项目的技术创新1</w:t>
            </w:r>
          </w:p>
        </w:tc>
      </w:tr>
    </w:tbl>
    <w:p w14:paraId="06210CC0" w14:textId="1973921C" w:rsidR="00263E70" w:rsidRPr="00EA376F" w:rsidRDefault="00263E70">
      <w:pPr>
        <w:rPr>
          <w:rFonts w:ascii="Times New Roman" w:hAnsi="Times New Roman"/>
        </w:rPr>
      </w:pPr>
    </w:p>
    <w:p w14:paraId="61316CEB" w14:textId="77777777" w:rsidR="00324603" w:rsidRPr="00EA376F" w:rsidRDefault="00324603">
      <w:pPr>
        <w:rPr>
          <w:rFonts w:ascii="Times New Roman" w:hAnsi="Times New Roman"/>
        </w:rPr>
      </w:pPr>
    </w:p>
    <w:p w14:paraId="733DF23C" w14:textId="77777777" w:rsidR="002022A3" w:rsidRPr="00EA376F" w:rsidRDefault="002022A3">
      <w:pPr>
        <w:rPr>
          <w:rFonts w:ascii="Times New Roman" w:hAnsi="Times New Roman"/>
        </w:rPr>
      </w:pPr>
    </w:p>
    <w:p w14:paraId="79368EC0" w14:textId="77777777" w:rsidR="002022A3" w:rsidRPr="00EA376F" w:rsidRDefault="002022A3">
      <w:pPr>
        <w:rPr>
          <w:rFonts w:ascii="Times New Roman" w:hAnsi="Times New Roman"/>
        </w:rPr>
      </w:pPr>
    </w:p>
    <w:p w14:paraId="4A60E9F3" w14:textId="5830C051" w:rsidR="00263E70" w:rsidRPr="00EA376F" w:rsidRDefault="00263E70">
      <w:pPr>
        <w:rPr>
          <w:rFonts w:ascii="Times New Roman" w:hAnsi="Times New Roman"/>
        </w:rPr>
      </w:pPr>
    </w:p>
    <w:p w14:paraId="4CF7D7A8" w14:textId="2A8059FE" w:rsidR="00263E70" w:rsidRDefault="00263E70">
      <w:pPr>
        <w:rPr>
          <w:rFonts w:ascii="Times New Roman" w:hAnsi="Times New Roman"/>
        </w:rPr>
      </w:pPr>
    </w:p>
    <w:p w14:paraId="19092D0F" w14:textId="10124C61" w:rsidR="00EA376F" w:rsidRDefault="00EA376F">
      <w:pPr>
        <w:rPr>
          <w:rFonts w:ascii="Times New Roman" w:hAnsi="Times New Roman"/>
        </w:rPr>
      </w:pPr>
    </w:p>
    <w:p w14:paraId="2908D3FF" w14:textId="52B99E4D" w:rsidR="00EA376F" w:rsidRDefault="00EA376F">
      <w:pPr>
        <w:rPr>
          <w:rFonts w:ascii="Times New Roman" w:hAnsi="Times New Roman"/>
        </w:rPr>
      </w:pPr>
    </w:p>
    <w:p w14:paraId="35FAC072" w14:textId="6FB5B266" w:rsidR="00EA376F" w:rsidRDefault="00EA376F">
      <w:pPr>
        <w:rPr>
          <w:rFonts w:ascii="Times New Roman" w:hAnsi="Times New Roman"/>
        </w:rPr>
      </w:pPr>
    </w:p>
    <w:p w14:paraId="2889DCDB" w14:textId="45AA6AC4" w:rsidR="00EA376F" w:rsidRDefault="00EA376F">
      <w:pPr>
        <w:rPr>
          <w:rFonts w:ascii="Times New Roman" w:hAnsi="Times New Roman"/>
        </w:rPr>
      </w:pPr>
    </w:p>
    <w:p w14:paraId="35CEB101" w14:textId="556937FF" w:rsidR="00AA171C" w:rsidRDefault="00AA171C">
      <w:pPr>
        <w:rPr>
          <w:rFonts w:ascii="Times New Roman" w:hAnsi="Times New Roman"/>
        </w:rPr>
      </w:pPr>
    </w:p>
    <w:p w14:paraId="40961A29" w14:textId="77777777" w:rsidR="00AA171C" w:rsidRDefault="00AA171C">
      <w:pPr>
        <w:rPr>
          <w:rFonts w:ascii="Times New Roman" w:hAnsi="Times New Roman"/>
        </w:rPr>
      </w:pPr>
    </w:p>
    <w:p w14:paraId="7EBC9862" w14:textId="242EDF44" w:rsidR="00EA376F" w:rsidRDefault="00EA376F">
      <w:pPr>
        <w:rPr>
          <w:rFonts w:ascii="Times New Roman" w:hAnsi="Times New Roman"/>
        </w:rPr>
      </w:pPr>
    </w:p>
    <w:p w14:paraId="7F9BADDD" w14:textId="77777777" w:rsidR="00EA376F" w:rsidRPr="00EA376F" w:rsidRDefault="00EA376F">
      <w:pPr>
        <w:rPr>
          <w:rFonts w:ascii="Times New Roman" w:hAnsi="Times New Roman"/>
        </w:rPr>
      </w:pPr>
    </w:p>
    <w:p w14:paraId="0B30BED6" w14:textId="3E5CF716" w:rsidR="00324603" w:rsidRPr="00324603" w:rsidRDefault="00324603" w:rsidP="00EA376F">
      <w:pPr>
        <w:spacing w:line="390" w:lineRule="exact"/>
        <w:jc w:val="center"/>
        <w:rPr>
          <w:rFonts w:ascii="Times New Roman" w:hAnsi="Times New Roman"/>
          <w:b/>
          <w:color w:val="000000"/>
          <w:sz w:val="28"/>
          <w:szCs w:val="20"/>
        </w:rPr>
      </w:pPr>
      <w:r w:rsidRPr="00324603">
        <w:rPr>
          <w:rFonts w:ascii="Times New Roman" w:hAnsi="Times New Roman" w:hint="eastAsia"/>
          <w:b/>
          <w:color w:val="000000"/>
          <w:sz w:val="28"/>
          <w:szCs w:val="20"/>
        </w:rPr>
        <w:lastRenderedPageBreak/>
        <w:t>完成人合作关系情况汇总表</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1375"/>
        <w:gridCol w:w="3118"/>
        <w:gridCol w:w="1843"/>
        <w:gridCol w:w="3544"/>
        <w:gridCol w:w="2693"/>
      </w:tblGrid>
      <w:tr w:rsidR="00324603" w:rsidRPr="00EA376F" w14:paraId="10E8D551" w14:textId="77777777" w:rsidTr="00EA376F">
        <w:tc>
          <w:tcPr>
            <w:tcW w:w="605" w:type="dxa"/>
            <w:vAlign w:val="center"/>
          </w:tcPr>
          <w:p w14:paraId="6815DF5F" w14:textId="77777777" w:rsidR="00324603" w:rsidRPr="00324603" w:rsidRDefault="00324603" w:rsidP="00EA376F">
            <w:pPr>
              <w:widowControl/>
              <w:spacing w:beforeLines="50" w:before="156" w:afterLines="50" w:after="156"/>
              <w:jc w:val="center"/>
              <w:rPr>
                <w:rFonts w:ascii="Times New Roman" w:hAnsi="Times New Roman"/>
                <w:color w:val="000000"/>
                <w:kern w:val="0"/>
                <w:szCs w:val="21"/>
              </w:rPr>
            </w:pPr>
            <w:r w:rsidRPr="00324603">
              <w:rPr>
                <w:rFonts w:ascii="Times New Roman" w:hAnsi="Times New Roman" w:hint="eastAsia"/>
                <w:color w:val="000000"/>
                <w:kern w:val="0"/>
                <w:szCs w:val="21"/>
              </w:rPr>
              <w:t>序号</w:t>
            </w:r>
          </w:p>
        </w:tc>
        <w:tc>
          <w:tcPr>
            <w:tcW w:w="1375" w:type="dxa"/>
            <w:vAlign w:val="center"/>
          </w:tcPr>
          <w:p w14:paraId="2A27323B" w14:textId="77777777" w:rsidR="00324603" w:rsidRPr="00324603" w:rsidRDefault="00324603" w:rsidP="00EA376F">
            <w:pPr>
              <w:widowControl/>
              <w:spacing w:beforeLines="50" w:before="156" w:afterLines="50" w:after="156"/>
              <w:jc w:val="center"/>
              <w:rPr>
                <w:rFonts w:ascii="Times New Roman" w:hAnsi="Times New Roman"/>
                <w:color w:val="000000"/>
                <w:kern w:val="0"/>
                <w:szCs w:val="21"/>
              </w:rPr>
            </w:pPr>
            <w:r w:rsidRPr="00324603">
              <w:rPr>
                <w:rFonts w:ascii="Times New Roman" w:hAnsi="Times New Roman" w:hint="eastAsia"/>
                <w:color w:val="000000"/>
                <w:kern w:val="0"/>
                <w:szCs w:val="21"/>
              </w:rPr>
              <w:t>合作方式</w:t>
            </w:r>
          </w:p>
        </w:tc>
        <w:tc>
          <w:tcPr>
            <w:tcW w:w="3118" w:type="dxa"/>
            <w:vAlign w:val="center"/>
          </w:tcPr>
          <w:p w14:paraId="3CBEB86E" w14:textId="77777777" w:rsidR="00324603" w:rsidRPr="00324603" w:rsidRDefault="00324603" w:rsidP="00EA376F">
            <w:pPr>
              <w:widowControl/>
              <w:spacing w:beforeLines="50" w:before="156" w:afterLines="50" w:after="156"/>
              <w:jc w:val="center"/>
              <w:rPr>
                <w:rFonts w:ascii="Times New Roman" w:hAnsi="Times New Roman"/>
                <w:color w:val="000000"/>
                <w:kern w:val="0"/>
                <w:szCs w:val="21"/>
              </w:rPr>
            </w:pPr>
            <w:r w:rsidRPr="00324603">
              <w:rPr>
                <w:rFonts w:ascii="Times New Roman" w:hAnsi="Times New Roman" w:hint="eastAsia"/>
                <w:color w:val="000000"/>
                <w:kern w:val="0"/>
                <w:szCs w:val="21"/>
              </w:rPr>
              <w:t>合作者</w:t>
            </w:r>
          </w:p>
        </w:tc>
        <w:tc>
          <w:tcPr>
            <w:tcW w:w="1843" w:type="dxa"/>
            <w:vAlign w:val="center"/>
          </w:tcPr>
          <w:p w14:paraId="7BB63A3C" w14:textId="77777777" w:rsidR="00324603" w:rsidRPr="00324603" w:rsidRDefault="00324603" w:rsidP="00EA376F">
            <w:pPr>
              <w:widowControl/>
              <w:spacing w:beforeLines="50" w:before="156" w:afterLines="50" w:after="156"/>
              <w:jc w:val="center"/>
              <w:rPr>
                <w:rFonts w:ascii="Times New Roman" w:hAnsi="Times New Roman"/>
                <w:color w:val="000000"/>
                <w:kern w:val="0"/>
                <w:szCs w:val="21"/>
              </w:rPr>
            </w:pPr>
            <w:r w:rsidRPr="00324603">
              <w:rPr>
                <w:rFonts w:ascii="Times New Roman" w:hAnsi="Times New Roman" w:hint="eastAsia"/>
                <w:color w:val="000000"/>
                <w:kern w:val="0"/>
                <w:szCs w:val="21"/>
              </w:rPr>
              <w:t>合作时间</w:t>
            </w:r>
          </w:p>
        </w:tc>
        <w:tc>
          <w:tcPr>
            <w:tcW w:w="3544" w:type="dxa"/>
            <w:vAlign w:val="center"/>
          </w:tcPr>
          <w:p w14:paraId="18E50DAE" w14:textId="77777777" w:rsidR="00324603" w:rsidRPr="00324603" w:rsidRDefault="00324603" w:rsidP="00EA376F">
            <w:pPr>
              <w:widowControl/>
              <w:spacing w:beforeLines="50" w:before="156" w:afterLines="50" w:after="156"/>
              <w:jc w:val="center"/>
              <w:rPr>
                <w:rFonts w:ascii="Times New Roman" w:hAnsi="Times New Roman"/>
                <w:color w:val="000000"/>
                <w:kern w:val="0"/>
                <w:szCs w:val="21"/>
              </w:rPr>
            </w:pPr>
            <w:r w:rsidRPr="00324603">
              <w:rPr>
                <w:rFonts w:ascii="Times New Roman" w:hAnsi="Times New Roman" w:hint="eastAsia"/>
                <w:color w:val="000000"/>
                <w:kern w:val="0"/>
                <w:szCs w:val="21"/>
              </w:rPr>
              <w:t>合作成果</w:t>
            </w:r>
          </w:p>
        </w:tc>
        <w:tc>
          <w:tcPr>
            <w:tcW w:w="2693" w:type="dxa"/>
            <w:vAlign w:val="center"/>
          </w:tcPr>
          <w:p w14:paraId="13F74A44" w14:textId="77777777" w:rsidR="00324603" w:rsidRPr="00324603" w:rsidRDefault="00324603" w:rsidP="00EA376F">
            <w:pPr>
              <w:widowControl/>
              <w:spacing w:beforeLines="50" w:before="156" w:afterLines="50" w:after="156"/>
              <w:jc w:val="center"/>
              <w:rPr>
                <w:rFonts w:ascii="Times New Roman" w:hAnsi="Times New Roman"/>
                <w:color w:val="000000"/>
                <w:kern w:val="0"/>
                <w:szCs w:val="21"/>
              </w:rPr>
            </w:pPr>
            <w:r w:rsidRPr="00324603">
              <w:rPr>
                <w:rFonts w:ascii="Times New Roman" w:hAnsi="Times New Roman" w:hint="eastAsia"/>
                <w:color w:val="000000"/>
                <w:kern w:val="0"/>
                <w:szCs w:val="21"/>
              </w:rPr>
              <w:t>备注</w:t>
            </w:r>
          </w:p>
        </w:tc>
      </w:tr>
      <w:tr w:rsidR="00324603" w:rsidRPr="00EA376F" w14:paraId="6360741D" w14:textId="77777777" w:rsidTr="00EA376F">
        <w:tc>
          <w:tcPr>
            <w:tcW w:w="605" w:type="dxa"/>
          </w:tcPr>
          <w:p w14:paraId="43A22B0F" w14:textId="300C00BD"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1</w:t>
            </w:r>
          </w:p>
        </w:tc>
        <w:tc>
          <w:tcPr>
            <w:tcW w:w="1375" w:type="dxa"/>
          </w:tcPr>
          <w:p w14:paraId="3F5AC926" w14:textId="6D041AE8"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共同研发并申请专利</w:t>
            </w:r>
          </w:p>
        </w:tc>
        <w:tc>
          <w:tcPr>
            <w:tcW w:w="3118" w:type="dxa"/>
          </w:tcPr>
          <w:p w14:paraId="18E38376" w14:textId="23301B0B"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闫子涵（排名</w:t>
            </w:r>
            <w:r w:rsidRPr="00EA376F">
              <w:rPr>
                <w:rFonts w:ascii="Times New Roman" w:hAnsi="Times New Roman" w:hint="eastAsia"/>
                <w:color w:val="000000"/>
                <w:kern w:val="0"/>
                <w:szCs w:val="21"/>
              </w:rPr>
              <w:t>1</w:t>
            </w:r>
            <w:r w:rsidRPr="00EA376F">
              <w:rPr>
                <w:rFonts w:ascii="Times New Roman" w:hAnsi="Times New Roman" w:hint="eastAsia"/>
                <w:color w:val="000000"/>
                <w:kern w:val="0"/>
                <w:szCs w:val="21"/>
              </w:rPr>
              <w:t>）、范怡平（排名</w:t>
            </w:r>
            <w:r w:rsidRPr="00EA376F">
              <w:rPr>
                <w:rFonts w:ascii="Times New Roman" w:hAnsi="Times New Roman" w:hint="eastAsia"/>
                <w:color w:val="000000"/>
                <w:kern w:val="0"/>
                <w:szCs w:val="21"/>
              </w:rPr>
              <w:t>2</w:t>
            </w:r>
            <w:r w:rsidRPr="00EA376F">
              <w:rPr>
                <w:rFonts w:ascii="Times New Roman" w:hAnsi="Times New Roman" w:hint="eastAsia"/>
                <w:color w:val="000000"/>
                <w:kern w:val="0"/>
                <w:szCs w:val="21"/>
              </w:rPr>
              <w:t>）、卢春喜（排名</w:t>
            </w:r>
            <w:r w:rsidRPr="00EA376F">
              <w:rPr>
                <w:rFonts w:ascii="Times New Roman" w:hAnsi="Times New Roman" w:hint="eastAsia"/>
                <w:color w:val="000000"/>
                <w:kern w:val="0"/>
                <w:szCs w:val="21"/>
              </w:rPr>
              <w:t>3</w:t>
            </w:r>
            <w:r w:rsidRPr="00EA376F">
              <w:rPr>
                <w:rFonts w:ascii="Times New Roman" w:hAnsi="Times New Roman" w:hint="eastAsia"/>
                <w:color w:val="000000"/>
                <w:kern w:val="0"/>
                <w:szCs w:val="21"/>
              </w:rPr>
              <w:t>）</w:t>
            </w:r>
          </w:p>
        </w:tc>
        <w:tc>
          <w:tcPr>
            <w:tcW w:w="1843" w:type="dxa"/>
          </w:tcPr>
          <w:p w14:paraId="6B36F25F" w14:textId="2C94DAEB"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color w:val="000000"/>
                <w:kern w:val="0"/>
                <w:szCs w:val="21"/>
              </w:rPr>
              <w:t>20</w:t>
            </w:r>
            <w:r w:rsidR="002022A3" w:rsidRPr="00EA376F">
              <w:rPr>
                <w:rFonts w:ascii="Times New Roman" w:hAnsi="Times New Roman"/>
                <w:color w:val="000000"/>
                <w:kern w:val="0"/>
                <w:szCs w:val="21"/>
              </w:rPr>
              <w:t>14</w:t>
            </w:r>
            <w:r w:rsidRPr="00EA376F">
              <w:rPr>
                <w:rFonts w:ascii="Times New Roman" w:hAnsi="Times New Roman"/>
                <w:color w:val="000000"/>
                <w:kern w:val="0"/>
                <w:szCs w:val="21"/>
              </w:rPr>
              <w:t>.</w:t>
            </w:r>
            <w:r w:rsidR="002022A3" w:rsidRPr="00EA376F">
              <w:rPr>
                <w:rFonts w:ascii="Times New Roman" w:hAnsi="Times New Roman"/>
                <w:color w:val="000000"/>
                <w:kern w:val="0"/>
                <w:szCs w:val="21"/>
              </w:rPr>
              <w:t>09</w:t>
            </w:r>
            <w:r w:rsidRPr="00EA376F">
              <w:rPr>
                <w:rFonts w:ascii="Times New Roman" w:hAnsi="Times New Roman"/>
                <w:color w:val="000000"/>
                <w:kern w:val="0"/>
                <w:szCs w:val="21"/>
              </w:rPr>
              <w:t>-2024.</w:t>
            </w:r>
            <w:r w:rsidR="002022A3" w:rsidRPr="00EA376F">
              <w:rPr>
                <w:rFonts w:ascii="Times New Roman" w:hAnsi="Times New Roman"/>
                <w:color w:val="000000"/>
                <w:kern w:val="0"/>
                <w:szCs w:val="21"/>
              </w:rPr>
              <w:t>12</w:t>
            </w:r>
          </w:p>
        </w:tc>
        <w:tc>
          <w:tcPr>
            <w:tcW w:w="3544" w:type="dxa"/>
          </w:tcPr>
          <w:p w14:paraId="6805720D" w14:textId="77777777" w:rsidR="00550EB8" w:rsidRPr="00EA376F"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专利：</w:t>
            </w:r>
            <w:r w:rsidRPr="00EA376F">
              <w:rPr>
                <w:rFonts w:ascii="Times New Roman" w:hAnsi="Times New Roman"/>
                <w:color w:val="000000"/>
                <w:kern w:val="0"/>
                <w:szCs w:val="21"/>
              </w:rPr>
              <w:t>ZL202111074226.2</w:t>
            </w:r>
          </w:p>
          <w:p w14:paraId="35FD22AB" w14:textId="21D79F42"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《下行床反应器及其操作方法》</w:t>
            </w:r>
          </w:p>
        </w:tc>
        <w:tc>
          <w:tcPr>
            <w:tcW w:w="2693" w:type="dxa"/>
          </w:tcPr>
          <w:p w14:paraId="51DE9755" w14:textId="26698755"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支撑本项目技术创新</w:t>
            </w:r>
            <w:r w:rsidR="00550EB8" w:rsidRPr="00EA376F">
              <w:rPr>
                <w:rFonts w:ascii="Times New Roman" w:hAnsi="Times New Roman"/>
                <w:color w:val="000000"/>
                <w:kern w:val="0"/>
                <w:szCs w:val="21"/>
              </w:rPr>
              <w:t>2</w:t>
            </w:r>
          </w:p>
        </w:tc>
      </w:tr>
      <w:tr w:rsidR="00324603" w:rsidRPr="00EA376F" w14:paraId="2A3A42AD" w14:textId="77777777" w:rsidTr="00EA376F">
        <w:tc>
          <w:tcPr>
            <w:tcW w:w="605" w:type="dxa"/>
          </w:tcPr>
          <w:p w14:paraId="06536D62" w14:textId="227FD37E" w:rsidR="00324603" w:rsidRPr="00324603" w:rsidRDefault="00550EB8"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2</w:t>
            </w:r>
          </w:p>
        </w:tc>
        <w:tc>
          <w:tcPr>
            <w:tcW w:w="1375" w:type="dxa"/>
          </w:tcPr>
          <w:p w14:paraId="4997EAD8" w14:textId="70DC1354"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共同研发并申请专利</w:t>
            </w:r>
          </w:p>
        </w:tc>
        <w:tc>
          <w:tcPr>
            <w:tcW w:w="3118" w:type="dxa"/>
          </w:tcPr>
          <w:p w14:paraId="64193AAE" w14:textId="45DE7E9E"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闫子涵（排名</w:t>
            </w:r>
            <w:r w:rsidRPr="00EA376F">
              <w:rPr>
                <w:rFonts w:ascii="Times New Roman" w:hAnsi="Times New Roman" w:hint="eastAsia"/>
                <w:color w:val="000000"/>
                <w:kern w:val="0"/>
                <w:szCs w:val="21"/>
              </w:rPr>
              <w:t>1</w:t>
            </w:r>
            <w:r w:rsidRPr="00EA376F">
              <w:rPr>
                <w:rFonts w:ascii="Times New Roman" w:hAnsi="Times New Roman" w:hint="eastAsia"/>
                <w:color w:val="000000"/>
                <w:kern w:val="0"/>
                <w:szCs w:val="21"/>
              </w:rPr>
              <w:t>）、范怡平（排名</w:t>
            </w:r>
            <w:r w:rsidRPr="00EA376F">
              <w:rPr>
                <w:rFonts w:ascii="Times New Roman" w:hAnsi="Times New Roman" w:hint="eastAsia"/>
                <w:color w:val="000000"/>
                <w:kern w:val="0"/>
                <w:szCs w:val="21"/>
              </w:rPr>
              <w:t>2</w:t>
            </w:r>
            <w:r w:rsidRPr="00EA376F">
              <w:rPr>
                <w:rFonts w:ascii="Times New Roman" w:hAnsi="Times New Roman" w:hint="eastAsia"/>
                <w:color w:val="000000"/>
                <w:kern w:val="0"/>
                <w:szCs w:val="21"/>
              </w:rPr>
              <w:t>）、卢春喜（排名</w:t>
            </w:r>
            <w:r w:rsidRPr="00EA376F">
              <w:rPr>
                <w:rFonts w:ascii="Times New Roman" w:hAnsi="Times New Roman" w:hint="eastAsia"/>
                <w:color w:val="000000"/>
                <w:kern w:val="0"/>
                <w:szCs w:val="21"/>
              </w:rPr>
              <w:t>3</w:t>
            </w:r>
            <w:r w:rsidRPr="00EA376F">
              <w:rPr>
                <w:rFonts w:ascii="Times New Roman" w:hAnsi="Times New Roman" w:hint="eastAsia"/>
                <w:color w:val="000000"/>
                <w:kern w:val="0"/>
                <w:szCs w:val="21"/>
              </w:rPr>
              <w:t>）</w:t>
            </w:r>
          </w:p>
        </w:tc>
        <w:tc>
          <w:tcPr>
            <w:tcW w:w="1843" w:type="dxa"/>
          </w:tcPr>
          <w:p w14:paraId="36ED19BA" w14:textId="274BFC65"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color w:val="000000"/>
                <w:kern w:val="0"/>
                <w:szCs w:val="21"/>
              </w:rPr>
              <w:t>20</w:t>
            </w:r>
            <w:r w:rsidR="00550EB8" w:rsidRPr="00EA376F">
              <w:rPr>
                <w:rFonts w:ascii="Times New Roman" w:hAnsi="Times New Roman"/>
                <w:color w:val="000000"/>
                <w:kern w:val="0"/>
                <w:szCs w:val="21"/>
              </w:rPr>
              <w:t>1</w:t>
            </w:r>
            <w:r w:rsidR="002022A3" w:rsidRPr="00EA376F">
              <w:rPr>
                <w:rFonts w:ascii="Times New Roman" w:hAnsi="Times New Roman"/>
                <w:color w:val="000000"/>
                <w:kern w:val="0"/>
                <w:szCs w:val="21"/>
              </w:rPr>
              <w:t>4</w:t>
            </w:r>
            <w:r w:rsidRPr="00EA376F">
              <w:rPr>
                <w:rFonts w:ascii="Times New Roman" w:hAnsi="Times New Roman"/>
                <w:color w:val="000000"/>
                <w:kern w:val="0"/>
                <w:szCs w:val="21"/>
              </w:rPr>
              <w:t>.</w:t>
            </w:r>
            <w:r w:rsidR="002022A3" w:rsidRPr="00EA376F">
              <w:rPr>
                <w:rFonts w:ascii="Times New Roman" w:hAnsi="Times New Roman"/>
                <w:color w:val="000000"/>
                <w:kern w:val="0"/>
                <w:szCs w:val="21"/>
              </w:rPr>
              <w:t>09</w:t>
            </w:r>
            <w:r w:rsidRPr="00EA376F">
              <w:rPr>
                <w:rFonts w:ascii="Times New Roman" w:hAnsi="Times New Roman"/>
                <w:color w:val="000000"/>
                <w:kern w:val="0"/>
                <w:szCs w:val="21"/>
              </w:rPr>
              <w:t>-2024.</w:t>
            </w:r>
            <w:r w:rsidR="002022A3" w:rsidRPr="00EA376F">
              <w:rPr>
                <w:rFonts w:ascii="Times New Roman" w:hAnsi="Times New Roman"/>
                <w:color w:val="000000"/>
                <w:kern w:val="0"/>
                <w:szCs w:val="21"/>
              </w:rPr>
              <w:t>12</w:t>
            </w:r>
          </w:p>
        </w:tc>
        <w:tc>
          <w:tcPr>
            <w:tcW w:w="3544" w:type="dxa"/>
          </w:tcPr>
          <w:p w14:paraId="67008182" w14:textId="77777777" w:rsidR="00550EB8" w:rsidRPr="00EA376F"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专利：</w:t>
            </w:r>
            <w:r w:rsidR="00550EB8" w:rsidRPr="00EA376F">
              <w:rPr>
                <w:rFonts w:ascii="Times New Roman" w:hAnsi="Times New Roman"/>
                <w:color w:val="000000"/>
                <w:kern w:val="0"/>
                <w:szCs w:val="21"/>
              </w:rPr>
              <w:t>ZL201510666109.3</w:t>
            </w:r>
          </w:p>
          <w:p w14:paraId="4100B95B" w14:textId="33F55D13"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w:t>
            </w:r>
            <w:r w:rsidR="00550EB8" w:rsidRPr="00EA376F">
              <w:rPr>
                <w:rFonts w:ascii="Times New Roman" w:hAnsi="Times New Roman" w:hint="eastAsia"/>
                <w:color w:val="000000"/>
                <w:kern w:val="0"/>
                <w:szCs w:val="21"/>
              </w:rPr>
              <w:t>一种促进催化裂化提升管进料区油剂混合的新型助流剂技术</w:t>
            </w:r>
            <w:r w:rsidRPr="00EA376F">
              <w:rPr>
                <w:rFonts w:ascii="Times New Roman" w:hAnsi="Times New Roman" w:hint="eastAsia"/>
                <w:color w:val="000000"/>
                <w:kern w:val="0"/>
                <w:szCs w:val="21"/>
              </w:rPr>
              <w:t>》</w:t>
            </w:r>
          </w:p>
        </w:tc>
        <w:tc>
          <w:tcPr>
            <w:tcW w:w="2693" w:type="dxa"/>
          </w:tcPr>
          <w:p w14:paraId="79E6E709" w14:textId="5AB2B509" w:rsidR="00324603" w:rsidRPr="00324603" w:rsidRDefault="0032460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支撑本项目技术创新</w:t>
            </w:r>
            <w:r w:rsidR="002022A3" w:rsidRPr="00EA376F">
              <w:rPr>
                <w:rFonts w:ascii="Times New Roman" w:hAnsi="Times New Roman" w:hint="eastAsia"/>
                <w:color w:val="000000"/>
                <w:kern w:val="0"/>
                <w:szCs w:val="21"/>
              </w:rPr>
              <w:t>1</w:t>
            </w:r>
            <w:r w:rsidR="002022A3" w:rsidRPr="00EA376F">
              <w:rPr>
                <w:rFonts w:ascii="Times New Roman" w:hAnsi="Times New Roman" w:hint="eastAsia"/>
                <w:color w:val="000000"/>
                <w:kern w:val="0"/>
                <w:szCs w:val="21"/>
              </w:rPr>
              <w:t>、</w:t>
            </w:r>
            <w:r w:rsidR="00550EB8" w:rsidRPr="00EA376F">
              <w:rPr>
                <w:rFonts w:ascii="Times New Roman" w:hAnsi="Times New Roman"/>
                <w:color w:val="000000"/>
                <w:kern w:val="0"/>
                <w:szCs w:val="21"/>
              </w:rPr>
              <w:t>3</w:t>
            </w:r>
          </w:p>
        </w:tc>
      </w:tr>
      <w:tr w:rsidR="00324603" w:rsidRPr="00EA376F" w14:paraId="1DE10E4D" w14:textId="77777777" w:rsidTr="00EA376F">
        <w:tc>
          <w:tcPr>
            <w:tcW w:w="605" w:type="dxa"/>
          </w:tcPr>
          <w:p w14:paraId="181CAACF" w14:textId="1CE15E0B" w:rsidR="00324603" w:rsidRPr="00324603" w:rsidRDefault="00550EB8"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3</w:t>
            </w:r>
          </w:p>
        </w:tc>
        <w:tc>
          <w:tcPr>
            <w:tcW w:w="1375" w:type="dxa"/>
          </w:tcPr>
          <w:p w14:paraId="1ED19760" w14:textId="0B3244A3" w:rsidR="00324603" w:rsidRPr="00324603" w:rsidRDefault="00550EB8"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共同研发并申请专利</w:t>
            </w:r>
          </w:p>
        </w:tc>
        <w:tc>
          <w:tcPr>
            <w:tcW w:w="3118" w:type="dxa"/>
          </w:tcPr>
          <w:p w14:paraId="69A8FEFC" w14:textId="7129641A" w:rsidR="00324603" w:rsidRPr="00324603" w:rsidRDefault="00550EB8"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闫子涵（排名</w:t>
            </w:r>
            <w:r w:rsidRPr="00EA376F">
              <w:rPr>
                <w:rFonts w:ascii="Times New Roman" w:hAnsi="Times New Roman" w:hint="eastAsia"/>
                <w:color w:val="000000"/>
                <w:kern w:val="0"/>
                <w:szCs w:val="21"/>
              </w:rPr>
              <w:t>1</w:t>
            </w:r>
            <w:r w:rsidRPr="00EA376F">
              <w:rPr>
                <w:rFonts w:ascii="Times New Roman" w:hAnsi="Times New Roman" w:hint="eastAsia"/>
                <w:color w:val="000000"/>
                <w:kern w:val="0"/>
                <w:szCs w:val="21"/>
              </w:rPr>
              <w:t>）、范怡平（排名</w:t>
            </w:r>
            <w:r w:rsidRPr="00EA376F">
              <w:rPr>
                <w:rFonts w:ascii="Times New Roman" w:hAnsi="Times New Roman" w:hint="eastAsia"/>
                <w:color w:val="000000"/>
                <w:kern w:val="0"/>
                <w:szCs w:val="21"/>
              </w:rPr>
              <w:t>2</w:t>
            </w:r>
            <w:r w:rsidRPr="00EA376F">
              <w:rPr>
                <w:rFonts w:ascii="Times New Roman" w:hAnsi="Times New Roman" w:hint="eastAsia"/>
                <w:color w:val="000000"/>
                <w:kern w:val="0"/>
                <w:szCs w:val="21"/>
              </w:rPr>
              <w:t>）、卢春喜（排名</w:t>
            </w:r>
            <w:r w:rsidRPr="00EA376F">
              <w:rPr>
                <w:rFonts w:ascii="Times New Roman" w:hAnsi="Times New Roman" w:hint="eastAsia"/>
                <w:color w:val="000000"/>
                <w:kern w:val="0"/>
                <w:szCs w:val="21"/>
              </w:rPr>
              <w:t>3</w:t>
            </w:r>
            <w:r w:rsidRPr="00EA376F">
              <w:rPr>
                <w:rFonts w:ascii="Times New Roman" w:hAnsi="Times New Roman" w:hint="eastAsia"/>
                <w:color w:val="000000"/>
                <w:kern w:val="0"/>
                <w:szCs w:val="21"/>
              </w:rPr>
              <w:t>）、刘梦溪（排名</w:t>
            </w:r>
            <w:r w:rsidRPr="00EA376F">
              <w:rPr>
                <w:rFonts w:ascii="Times New Roman" w:hAnsi="Times New Roman" w:hint="eastAsia"/>
                <w:color w:val="000000"/>
                <w:kern w:val="0"/>
                <w:szCs w:val="21"/>
              </w:rPr>
              <w:t>4</w:t>
            </w:r>
            <w:r w:rsidRPr="00EA376F">
              <w:rPr>
                <w:rFonts w:ascii="Times New Roman" w:hAnsi="Times New Roman" w:hint="eastAsia"/>
                <w:color w:val="000000"/>
                <w:kern w:val="0"/>
                <w:szCs w:val="21"/>
              </w:rPr>
              <w:t>）、姚秀颖（排名</w:t>
            </w:r>
            <w:r w:rsidRPr="00EA376F">
              <w:rPr>
                <w:rFonts w:ascii="Times New Roman" w:hAnsi="Times New Roman" w:hint="eastAsia"/>
                <w:color w:val="000000"/>
                <w:kern w:val="0"/>
                <w:szCs w:val="21"/>
              </w:rPr>
              <w:t>5</w:t>
            </w:r>
            <w:r w:rsidRPr="00EA376F">
              <w:rPr>
                <w:rFonts w:ascii="Times New Roman" w:hAnsi="Times New Roman" w:hint="eastAsia"/>
                <w:color w:val="000000"/>
                <w:kern w:val="0"/>
                <w:szCs w:val="21"/>
              </w:rPr>
              <w:t>）、鄂承林（排名</w:t>
            </w:r>
            <w:r w:rsidRPr="00EA376F">
              <w:rPr>
                <w:rFonts w:ascii="Times New Roman" w:hAnsi="Times New Roman" w:hint="eastAsia"/>
                <w:color w:val="000000"/>
                <w:kern w:val="0"/>
                <w:szCs w:val="21"/>
              </w:rPr>
              <w:t>6</w:t>
            </w:r>
            <w:r w:rsidRPr="00EA376F">
              <w:rPr>
                <w:rFonts w:ascii="Times New Roman" w:hAnsi="Times New Roman" w:hint="eastAsia"/>
                <w:color w:val="000000"/>
                <w:kern w:val="0"/>
                <w:szCs w:val="21"/>
              </w:rPr>
              <w:t>）</w:t>
            </w:r>
          </w:p>
        </w:tc>
        <w:tc>
          <w:tcPr>
            <w:tcW w:w="1843" w:type="dxa"/>
          </w:tcPr>
          <w:p w14:paraId="134B03D5" w14:textId="5A149742"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2</w:t>
            </w:r>
            <w:r w:rsidRPr="00EA376F">
              <w:rPr>
                <w:rFonts w:ascii="Times New Roman" w:hAnsi="Times New Roman"/>
                <w:color w:val="000000"/>
                <w:kern w:val="0"/>
                <w:szCs w:val="21"/>
              </w:rPr>
              <w:t>014.09-2024.12</w:t>
            </w:r>
          </w:p>
        </w:tc>
        <w:tc>
          <w:tcPr>
            <w:tcW w:w="3544" w:type="dxa"/>
          </w:tcPr>
          <w:p w14:paraId="3FDEC6A4" w14:textId="268D2B51" w:rsidR="00324603" w:rsidRPr="00324603" w:rsidRDefault="00550EB8"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专利：</w:t>
            </w:r>
            <w:r w:rsidRPr="00EA376F">
              <w:rPr>
                <w:rFonts w:ascii="Times New Roman" w:hAnsi="Times New Roman"/>
                <w:color w:val="000000"/>
                <w:kern w:val="0"/>
                <w:szCs w:val="21"/>
              </w:rPr>
              <w:t>ZL202420118689.7</w:t>
            </w:r>
            <w:r w:rsidRPr="00EA376F">
              <w:rPr>
                <w:rFonts w:ascii="Times New Roman" w:hAnsi="Times New Roman" w:hint="eastAsia"/>
                <w:color w:val="000000"/>
                <w:kern w:val="0"/>
                <w:szCs w:val="21"/>
              </w:rPr>
              <w:t>《适用于超细颗粒气相沉积的反应器》</w:t>
            </w:r>
          </w:p>
        </w:tc>
        <w:tc>
          <w:tcPr>
            <w:tcW w:w="2693" w:type="dxa"/>
          </w:tcPr>
          <w:p w14:paraId="5AF5AC55" w14:textId="5FDEACCE" w:rsidR="00324603" w:rsidRPr="00324603" w:rsidRDefault="00550EB8"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支撑本项目技术创新</w:t>
            </w:r>
            <w:r w:rsidRPr="00EA376F">
              <w:rPr>
                <w:rFonts w:ascii="Times New Roman" w:hAnsi="Times New Roman" w:hint="eastAsia"/>
                <w:color w:val="000000"/>
                <w:kern w:val="0"/>
                <w:szCs w:val="21"/>
              </w:rPr>
              <w:t>3</w:t>
            </w:r>
          </w:p>
        </w:tc>
      </w:tr>
      <w:tr w:rsidR="00324603" w:rsidRPr="00EA376F" w14:paraId="05EF4F92" w14:textId="77777777" w:rsidTr="00EA376F">
        <w:tc>
          <w:tcPr>
            <w:tcW w:w="605" w:type="dxa"/>
          </w:tcPr>
          <w:p w14:paraId="77B3A869" w14:textId="12046749"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4</w:t>
            </w:r>
          </w:p>
        </w:tc>
        <w:tc>
          <w:tcPr>
            <w:tcW w:w="1375" w:type="dxa"/>
          </w:tcPr>
          <w:p w14:paraId="4250C818" w14:textId="68270FB3"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共同研发并申请专利</w:t>
            </w:r>
          </w:p>
        </w:tc>
        <w:tc>
          <w:tcPr>
            <w:tcW w:w="3118" w:type="dxa"/>
          </w:tcPr>
          <w:p w14:paraId="3019159D" w14:textId="1F5EF31F"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卢春喜（排名</w:t>
            </w:r>
            <w:r w:rsidRPr="00EA376F">
              <w:rPr>
                <w:rFonts w:ascii="Times New Roman" w:hAnsi="Times New Roman" w:hint="eastAsia"/>
                <w:color w:val="000000"/>
                <w:kern w:val="0"/>
                <w:szCs w:val="21"/>
              </w:rPr>
              <w:t>3</w:t>
            </w:r>
            <w:r w:rsidRPr="00EA376F">
              <w:rPr>
                <w:rFonts w:ascii="Times New Roman" w:hAnsi="Times New Roman" w:hint="eastAsia"/>
                <w:color w:val="000000"/>
                <w:kern w:val="0"/>
                <w:szCs w:val="21"/>
              </w:rPr>
              <w:t>）、刘梦溪（排名</w:t>
            </w:r>
            <w:r w:rsidRPr="00EA376F">
              <w:rPr>
                <w:rFonts w:ascii="Times New Roman" w:hAnsi="Times New Roman" w:hint="eastAsia"/>
                <w:color w:val="000000"/>
                <w:kern w:val="0"/>
                <w:szCs w:val="21"/>
              </w:rPr>
              <w:t>4</w:t>
            </w:r>
            <w:r w:rsidRPr="00EA376F">
              <w:rPr>
                <w:rFonts w:ascii="Times New Roman" w:hAnsi="Times New Roman" w:hint="eastAsia"/>
                <w:color w:val="000000"/>
                <w:kern w:val="0"/>
                <w:szCs w:val="21"/>
              </w:rPr>
              <w:t>）、常明（排名</w:t>
            </w:r>
            <w:r w:rsidRPr="00EA376F">
              <w:rPr>
                <w:rFonts w:ascii="Times New Roman" w:hAnsi="Times New Roman" w:hint="eastAsia"/>
                <w:color w:val="000000"/>
                <w:kern w:val="0"/>
                <w:szCs w:val="21"/>
              </w:rPr>
              <w:t>6</w:t>
            </w:r>
            <w:r w:rsidRPr="00EA376F">
              <w:rPr>
                <w:rFonts w:ascii="Times New Roman" w:hAnsi="Times New Roman" w:hint="eastAsia"/>
                <w:color w:val="000000"/>
                <w:kern w:val="0"/>
                <w:szCs w:val="21"/>
              </w:rPr>
              <w:t>）</w:t>
            </w:r>
          </w:p>
        </w:tc>
        <w:tc>
          <w:tcPr>
            <w:tcW w:w="1843" w:type="dxa"/>
          </w:tcPr>
          <w:p w14:paraId="4D5EFA28" w14:textId="46A1CD93"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color w:val="000000"/>
                <w:kern w:val="0"/>
                <w:szCs w:val="21"/>
              </w:rPr>
              <w:t>2021.01-2024.12</w:t>
            </w:r>
          </w:p>
        </w:tc>
        <w:tc>
          <w:tcPr>
            <w:tcW w:w="3544" w:type="dxa"/>
          </w:tcPr>
          <w:p w14:paraId="3CE1756E" w14:textId="472A5054" w:rsidR="002022A3" w:rsidRPr="00EA376F"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专利：</w:t>
            </w:r>
            <w:r w:rsidRPr="00EA376F">
              <w:rPr>
                <w:rFonts w:ascii="Times New Roman" w:hAnsi="Times New Roman"/>
                <w:color w:val="000000"/>
                <w:kern w:val="0"/>
                <w:szCs w:val="21"/>
              </w:rPr>
              <w:t>ZL202411022909.7</w:t>
            </w:r>
          </w:p>
          <w:p w14:paraId="4FAFAD5E" w14:textId="331EBA65"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《生物质流化床热解炭化耦合二氧化碳循环系统及方法》</w:t>
            </w:r>
          </w:p>
        </w:tc>
        <w:tc>
          <w:tcPr>
            <w:tcW w:w="2693" w:type="dxa"/>
          </w:tcPr>
          <w:p w14:paraId="4A6B0017" w14:textId="63983942" w:rsidR="00324603" w:rsidRPr="00324603" w:rsidRDefault="002022A3" w:rsidP="00EA376F">
            <w:pPr>
              <w:widowControl/>
              <w:spacing w:beforeLines="50" w:before="156" w:afterLines="50" w:after="156"/>
              <w:jc w:val="left"/>
              <w:rPr>
                <w:rFonts w:ascii="Times New Roman" w:hAnsi="Times New Roman"/>
                <w:color w:val="000000"/>
                <w:kern w:val="0"/>
                <w:szCs w:val="21"/>
              </w:rPr>
            </w:pPr>
            <w:r w:rsidRPr="00EA376F">
              <w:rPr>
                <w:rFonts w:ascii="Times New Roman" w:hAnsi="Times New Roman" w:hint="eastAsia"/>
                <w:color w:val="000000"/>
                <w:kern w:val="0"/>
                <w:szCs w:val="21"/>
              </w:rPr>
              <w:t>支撑本项目技术创新</w:t>
            </w:r>
            <w:r w:rsidRPr="00EA376F">
              <w:rPr>
                <w:rFonts w:ascii="Times New Roman" w:hAnsi="Times New Roman"/>
                <w:color w:val="000000"/>
                <w:kern w:val="0"/>
                <w:szCs w:val="21"/>
              </w:rPr>
              <w:t>2</w:t>
            </w:r>
          </w:p>
        </w:tc>
      </w:tr>
    </w:tbl>
    <w:p w14:paraId="6D7A6216" w14:textId="471419D2" w:rsidR="00263E70" w:rsidRPr="00EA376F" w:rsidRDefault="00263E70" w:rsidP="00EA376F">
      <w:pPr>
        <w:adjustRightInd w:val="0"/>
        <w:spacing w:line="320" w:lineRule="exact"/>
        <w:rPr>
          <w:rFonts w:ascii="Times New Roman" w:hAnsi="Times New Roman"/>
          <w:b/>
          <w:bCs/>
          <w:color w:val="000000"/>
          <w:sz w:val="24"/>
          <w:szCs w:val="28"/>
        </w:rPr>
      </w:pPr>
    </w:p>
    <w:sectPr w:rsidR="00263E70" w:rsidRPr="00EA376F" w:rsidSect="00324603">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969D" w14:textId="77777777" w:rsidR="00D92A9C" w:rsidRDefault="00D92A9C" w:rsidP="00263E70">
      <w:r>
        <w:separator/>
      </w:r>
    </w:p>
  </w:endnote>
  <w:endnote w:type="continuationSeparator" w:id="0">
    <w:p w14:paraId="3A1975CB" w14:textId="77777777" w:rsidR="00D92A9C" w:rsidRDefault="00D92A9C" w:rsidP="0026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auto"/>
    <w:pitch w:val="variable"/>
    <w:sig w:usb0="A00002BF" w:usb1="184F6CFA" w:usb2="00000012" w:usb3="00000000" w:csb0="00040001" w:csb1="00000000"/>
  </w:font>
  <w:font w:name="方正仿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DDF3B" w14:textId="77777777" w:rsidR="00D92A9C" w:rsidRDefault="00D92A9C" w:rsidP="00263E70">
      <w:r>
        <w:separator/>
      </w:r>
    </w:p>
  </w:footnote>
  <w:footnote w:type="continuationSeparator" w:id="0">
    <w:p w14:paraId="1605BDA8" w14:textId="77777777" w:rsidR="00D92A9C" w:rsidRDefault="00D92A9C" w:rsidP="00263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B0"/>
    <w:rsid w:val="002022A3"/>
    <w:rsid w:val="00241BB0"/>
    <w:rsid w:val="00263E70"/>
    <w:rsid w:val="002A6362"/>
    <w:rsid w:val="00324603"/>
    <w:rsid w:val="00550EB8"/>
    <w:rsid w:val="005D74AC"/>
    <w:rsid w:val="00AA171C"/>
    <w:rsid w:val="00BA7C74"/>
    <w:rsid w:val="00D92A9C"/>
    <w:rsid w:val="00E94E11"/>
    <w:rsid w:val="00EA3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E587"/>
  <w15:chartTrackingRefBased/>
  <w15:docId w15:val="{31E64A7C-D66C-4984-B6B1-FC2680D5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E7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E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3E70"/>
    <w:rPr>
      <w:sz w:val="18"/>
      <w:szCs w:val="18"/>
    </w:rPr>
  </w:style>
  <w:style w:type="paragraph" w:styleId="a5">
    <w:name w:val="footer"/>
    <w:basedOn w:val="a"/>
    <w:link w:val="a6"/>
    <w:uiPriority w:val="99"/>
    <w:unhideWhenUsed/>
    <w:rsid w:val="00263E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3E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5</cp:revision>
  <dcterms:created xsi:type="dcterms:W3CDTF">2026-05-06T01:07:00Z</dcterms:created>
  <dcterms:modified xsi:type="dcterms:W3CDTF">2026-05-07T06:27:00Z</dcterms:modified>
</cp:coreProperties>
</file>