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highlight w:val="none"/>
          <w:shd w:val="clear" w:color="auto" w:fill="auto"/>
          <w14:textFill>
            <w14:solidFill>
              <w14:schemeClr w14:val="tx1"/>
            </w14:solidFill>
          </w14:textFill>
        </w:rPr>
      </w:pPr>
    </w:p>
    <w:p>
      <w:pPr>
        <w:rPr>
          <w:b/>
          <w:color w:val="000000" w:themeColor="text1"/>
          <w:highlight w:val="none"/>
          <w:shd w:val="clear" w:color="auto" w:fill="auto"/>
          <w14:textFill>
            <w14:solidFill>
              <w14:schemeClr w14:val="tx1"/>
            </w14:solidFill>
          </w14:textFill>
        </w:rPr>
      </w:pPr>
    </w:p>
    <w:p>
      <w:pPr>
        <w:rPr>
          <w:b/>
          <w:color w:val="000000" w:themeColor="text1"/>
          <w:sz w:val="24"/>
          <w:highlight w:val="none"/>
          <w:shd w:val="clear" w:color="auto" w:fill="auto"/>
          <w14:textFill>
            <w14:solidFill>
              <w14:schemeClr w14:val="tx1"/>
            </w14:solidFill>
          </w14:textFill>
        </w:rPr>
      </w:pPr>
      <w:r>
        <w:rPr>
          <w:rFonts w:hint="eastAsia"/>
          <w:b/>
          <w:color w:val="000000" w:themeColor="text1"/>
          <w:sz w:val="24"/>
          <w:highlight w:val="none"/>
          <w:shd w:val="clear" w:color="auto" w:fill="auto"/>
          <w14:textFill>
            <w14:solidFill>
              <w14:schemeClr w14:val="tx1"/>
            </w14:solidFill>
          </w14:textFill>
        </w:rPr>
        <w:t>附件1：</w:t>
      </w:r>
    </w:p>
    <w:p>
      <w:pPr>
        <w:ind w:firstLine="141" w:firstLineChars="50"/>
        <w:jc w:val="center"/>
        <w:rPr>
          <w:b/>
          <w:bCs/>
          <w:color w:val="000000" w:themeColor="text1"/>
          <w:sz w:val="28"/>
          <w:szCs w:val="28"/>
          <w:highlight w:val="none"/>
          <w:shd w:val="clear" w:color="auto" w:fill="auto"/>
          <w14:textFill>
            <w14:solidFill>
              <w14:schemeClr w14:val="tx1"/>
            </w14:solidFill>
          </w14:textFill>
        </w:rPr>
      </w:pPr>
      <w:r>
        <w:rPr>
          <w:rFonts w:hint="eastAsia"/>
          <w:b/>
          <w:bCs/>
          <w:color w:val="000000" w:themeColor="text1"/>
          <w:sz w:val="28"/>
          <w:szCs w:val="28"/>
          <w:highlight w:val="none"/>
          <w:shd w:val="clear" w:color="auto" w:fill="auto"/>
          <w14:textFill>
            <w14:solidFill>
              <w14:schemeClr w14:val="tx1"/>
            </w14:solidFill>
          </w14:textFill>
        </w:rPr>
        <w:t>报销材料内容及粘贴要求</w:t>
      </w:r>
    </w:p>
    <w:p>
      <w:p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【门诊】</w:t>
      </w:r>
    </w:p>
    <w:p>
      <w:pPr>
        <w:numPr>
          <w:ilvl w:val="0"/>
          <w:numId w:val="1"/>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转诊单（在职职工和学生须有校医院转诊单，无转诊单一律不予报销；退休人员不需要校医院开转诊单，但只能在合同医院——北医三院和自己选定且在校医院公疗办登记备案的就近医院和社区医院就诊，确为专科疾病的可以直接到北京市公疗办公布的相应的专科医院就诊，到上述之外其他医院就诊，产生的费用一律不予以报销，如病情确需在上述之外医疗机构就诊，则必须有北医三院开具的有效期内的转诊单）；</w:t>
      </w:r>
    </w:p>
    <w:p>
      <w:pPr>
        <w:numPr>
          <w:ilvl w:val="0"/>
          <w:numId w:val="1"/>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收据（须盖有就诊医院的财务章）；</w:t>
      </w:r>
    </w:p>
    <w:p>
      <w:pPr>
        <w:numPr>
          <w:ilvl w:val="0"/>
          <w:numId w:val="1"/>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收据外另行打印的费用明细单（包含有费用类别）；</w:t>
      </w:r>
    </w:p>
    <w:p>
      <w:pPr>
        <w:numPr>
          <w:ilvl w:val="0"/>
          <w:numId w:val="1"/>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药品处方（西药、中成药限量1个月且仅限慢病，非慢性病药量一律不得超过7天，中草药限量7剂，超量部分不予报销，完全自费）</w:t>
      </w:r>
    </w:p>
    <w:p>
      <w:pPr>
        <w:numPr>
          <w:ilvl w:val="0"/>
          <w:numId w:val="1"/>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单项检查费用在200元及以上的项目须附有报告单复印件。</w:t>
      </w:r>
    </w:p>
    <w:p>
      <w:pPr>
        <w:rPr>
          <w:color w:val="000000" w:themeColor="text1"/>
          <w:sz w:val="24"/>
          <w:highlight w:val="none"/>
          <w:shd w:val="clear" w:color="auto" w:fill="auto"/>
          <w14:textFill>
            <w14:solidFill>
              <w14:schemeClr w14:val="tx1"/>
            </w14:solidFill>
          </w14:textFill>
        </w:rPr>
      </w:pPr>
    </w:p>
    <w:p>
      <w:p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【急诊】</w:t>
      </w:r>
    </w:p>
    <w:p>
      <w:pPr>
        <w:numPr>
          <w:ilvl w:val="0"/>
          <w:numId w:val="2"/>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急诊诊断证明（须盖有就诊医院的急诊章和诊断证明章）；</w:t>
      </w:r>
    </w:p>
    <w:p>
      <w:pPr>
        <w:numPr>
          <w:ilvl w:val="0"/>
          <w:numId w:val="2"/>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急诊病历；</w:t>
      </w:r>
    </w:p>
    <w:p>
      <w:pPr>
        <w:numPr>
          <w:ilvl w:val="0"/>
          <w:numId w:val="2"/>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收据（须盖有就诊医院的财务章和急诊章）；</w:t>
      </w:r>
    </w:p>
    <w:p>
      <w:pPr>
        <w:numPr>
          <w:ilvl w:val="0"/>
          <w:numId w:val="2"/>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收据外另行打印的费用明细单（包含有费用类别）；</w:t>
      </w:r>
    </w:p>
    <w:p>
      <w:pPr>
        <w:numPr>
          <w:ilvl w:val="0"/>
          <w:numId w:val="2"/>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药品处方（急诊药量不得超过3天，且中草药及中成药不能作为急诊用药，不能报销）；</w:t>
      </w:r>
    </w:p>
    <w:p>
      <w:pPr>
        <w:numPr>
          <w:ilvl w:val="0"/>
          <w:numId w:val="2"/>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单项检查费用在200元及以上的项目须附有报告单复印件。</w:t>
      </w:r>
    </w:p>
    <w:p>
      <w:pPr>
        <w:numPr>
          <w:ilvl w:val="0"/>
          <w:numId w:val="2"/>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急诊仅报当日当次发生的费用。</w:t>
      </w:r>
    </w:p>
    <w:p>
      <w:pPr>
        <w:rPr>
          <w:color w:val="000000" w:themeColor="text1"/>
          <w:sz w:val="24"/>
          <w:highlight w:val="none"/>
          <w:shd w:val="clear" w:color="auto" w:fill="auto"/>
          <w14:textFill>
            <w14:solidFill>
              <w14:schemeClr w14:val="tx1"/>
            </w14:solidFill>
          </w14:textFill>
        </w:rPr>
      </w:pPr>
    </w:p>
    <w:p>
      <w:p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【报销材料粘贴要求】</w:t>
      </w:r>
    </w:p>
    <w:p>
      <w:pPr>
        <w:numPr>
          <w:ilvl w:val="0"/>
          <w:numId w:val="3"/>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所有的医事服务费的收据都粘贴在最上面；</w:t>
      </w:r>
    </w:p>
    <w:p>
      <w:pPr>
        <w:numPr>
          <w:ilvl w:val="0"/>
          <w:numId w:val="3"/>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其他费用收据粘贴在医事服务费下面；</w:t>
      </w:r>
    </w:p>
    <w:p>
      <w:pPr>
        <w:numPr>
          <w:ilvl w:val="0"/>
          <w:numId w:val="3"/>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如果费用明细（包含有费用类别）是在收据外另行打印的，须将费用明细单粘贴在相应收据上面；</w:t>
      </w:r>
    </w:p>
    <w:p>
      <w:pPr>
        <w:numPr>
          <w:ilvl w:val="0"/>
          <w:numId w:val="3"/>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药品处方和单项检查费用在200元及以上项目报告单复印件粘贴在对应的收据下面；</w:t>
      </w:r>
    </w:p>
    <w:p>
      <w:pPr>
        <w:numPr>
          <w:ilvl w:val="0"/>
          <w:numId w:val="3"/>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按上述顺利将所有单据的左侧或左上角牢固粘贴在一起，注意不要遮挡住单据上左边框内机打的内容；</w:t>
      </w:r>
    </w:p>
    <w:p>
      <w:pPr>
        <w:numPr>
          <w:ilvl w:val="0"/>
          <w:numId w:val="3"/>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切记所有单据不得用订书钉装订，只能用胶水粘贴；</w:t>
      </w:r>
    </w:p>
    <w:p>
      <w:pPr>
        <w:numPr>
          <w:ilvl w:val="0"/>
          <w:numId w:val="3"/>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把所有票面金额相加计算出的总额写在首页右下角空白处；</w:t>
      </w:r>
    </w:p>
    <w:p>
      <w:pPr>
        <w:numPr>
          <w:ilvl w:val="0"/>
          <w:numId w:val="3"/>
        </w:numPr>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把本人的学号（学生）、报销号或工号（教职工）写在首页右上角空白处。</w:t>
      </w:r>
    </w:p>
    <w:p>
      <w:pPr>
        <w:tabs>
          <w:tab w:val="left" w:pos="312"/>
        </w:tabs>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br w:type="textWrapping"/>
      </w:r>
      <w:r>
        <w:rPr>
          <w:rFonts w:hint="eastAsia"/>
          <w:color w:val="000000" w:themeColor="text1"/>
          <w:sz w:val="24"/>
          <w:highlight w:val="none"/>
          <w:shd w:val="clear" w:color="auto" w:fill="auto"/>
          <w14:textFill>
            <w14:solidFill>
              <w14:schemeClr w14:val="tx1"/>
            </w14:solidFill>
          </w14:textFill>
        </w:rPr>
        <w:t>【住院】</w:t>
      </w:r>
    </w:p>
    <w:p>
      <w:pPr>
        <w:numPr>
          <w:ilvl w:val="0"/>
          <w:numId w:val="4"/>
        </w:numPr>
        <w:tabs>
          <w:tab w:val="left" w:pos="312"/>
        </w:tabs>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出院诊断证明或出院小结（须盖有就诊医院的公章）;</w:t>
      </w:r>
    </w:p>
    <w:p>
      <w:pPr>
        <w:numPr>
          <w:ilvl w:val="0"/>
          <w:numId w:val="4"/>
        </w:numPr>
        <w:tabs>
          <w:tab w:val="left" w:pos="312"/>
        </w:tabs>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住院费用总额收据（须盖有就诊医院的财务章）；</w:t>
      </w:r>
    </w:p>
    <w:p>
      <w:pPr>
        <w:numPr>
          <w:ilvl w:val="0"/>
          <w:numId w:val="4"/>
        </w:numPr>
        <w:tabs>
          <w:tab w:val="left" w:pos="312"/>
        </w:tabs>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住院费用明细（须包含有费用类别并盖章）；</w:t>
      </w:r>
    </w:p>
    <w:p>
      <w:pPr>
        <w:numPr>
          <w:ilvl w:val="0"/>
          <w:numId w:val="4"/>
        </w:numPr>
        <w:tabs>
          <w:tab w:val="left" w:pos="312"/>
        </w:tabs>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住院分娩的要求附生育服务证（复印件要有防伪）；</w:t>
      </w:r>
    </w:p>
    <w:p>
      <w:pPr>
        <w:numPr>
          <w:ilvl w:val="0"/>
          <w:numId w:val="4"/>
        </w:numPr>
        <w:tabs>
          <w:tab w:val="left" w:pos="312"/>
        </w:tabs>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住院外伤的要求附情况说明（学生需要辅导员签字、院办盖章；教</w:t>
      </w:r>
      <w:r>
        <w:rPr>
          <w:color w:val="000000" w:themeColor="text1"/>
          <w:sz w:val="24"/>
          <w:highlight w:val="none"/>
          <w:shd w:val="clear" w:color="auto" w:fill="auto"/>
          <w14:textFill>
            <w14:solidFill>
              <w14:schemeClr w14:val="tx1"/>
            </w14:solidFill>
          </w14:textFill>
        </w:rPr>
        <w:t>职工需要</w:t>
      </w:r>
      <w:r>
        <w:rPr>
          <w:rFonts w:hint="eastAsia"/>
          <w:color w:val="000000" w:themeColor="text1"/>
          <w:sz w:val="24"/>
          <w:highlight w:val="none"/>
          <w:shd w:val="clear" w:color="auto" w:fill="auto"/>
          <w14:textFill>
            <w14:solidFill>
              <w14:schemeClr w14:val="tx1"/>
            </w14:solidFill>
          </w14:textFill>
        </w:rPr>
        <w:t>部门</w:t>
      </w:r>
      <w:r>
        <w:rPr>
          <w:color w:val="000000" w:themeColor="text1"/>
          <w:sz w:val="24"/>
          <w:highlight w:val="none"/>
          <w:shd w:val="clear" w:color="auto" w:fill="auto"/>
          <w14:textFill>
            <w14:solidFill>
              <w14:schemeClr w14:val="tx1"/>
            </w14:solidFill>
          </w14:textFill>
        </w:rPr>
        <w:t>负责人签字、部门盖章</w:t>
      </w:r>
      <w:r>
        <w:rPr>
          <w:rFonts w:hint="eastAsia"/>
          <w:color w:val="000000" w:themeColor="text1"/>
          <w:sz w:val="24"/>
          <w:highlight w:val="none"/>
          <w:shd w:val="clear" w:color="auto" w:fill="auto"/>
          <w14:textFill>
            <w14:solidFill>
              <w14:schemeClr w14:val="tx1"/>
            </w14:solidFill>
          </w14:textFill>
        </w:rPr>
        <w:t>）;</w:t>
      </w:r>
    </w:p>
    <w:p>
      <w:pPr>
        <w:numPr>
          <w:ilvl w:val="0"/>
          <w:numId w:val="4"/>
        </w:numPr>
        <w:tabs>
          <w:tab w:val="left" w:pos="312"/>
        </w:tabs>
        <w:rPr>
          <w:color w:val="000000" w:themeColor="text1"/>
          <w:sz w:val="24"/>
          <w:highlight w:val="none"/>
          <w:shd w:val="clear" w:color="auto" w:fill="auto"/>
          <w14:textFill>
            <w14:solidFill>
              <w14:schemeClr w14:val="tx1"/>
            </w14:solidFill>
          </w14:textFill>
        </w:rPr>
      </w:pPr>
      <w:r>
        <w:rPr>
          <w:rFonts w:hint="eastAsia"/>
          <w:color w:val="000000" w:themeColor="text1"/>
          <w:sz w:val="24"/>
          <w:highlight w:val="none"/>
          <w:shd w:val="clear" w:color="auto" w:fill="auto"/>
          <w14:textFill>
            <w14:solidFill>
              <w14:schemeClr w14:val="tx1"/>
            </w14:solidFill>
          </w14:textFill>
        </w:rPr>
        <w:t>如有从学校财务借支票，须附借支票押金条。</w:t>
      </w:r>
    </w:p>
    <w:p>
      <w:pPr>
        <w:widowControl/>
        <w:jc w:val="left"/>
        <w:rPr>
          <w:color w:val="000000" w:themeColor="text1"/>
          <w:highlight w:val="none"/>
          <w:shd w:val="clear" w:color="auto" w:fill="auto"/>
          <w14:textFill>
            <w14:solidFill>
              <w14:schemeClr w14:val="tx1"/>
            </w14:solidFill>
          </w14:textFill>
        </w:rPr>
      </w:pPr>
      <w:bookmarkStart w:id="0" w:name="_GoBack"/>
      <w:bookmarkEnd w:id="0"/>
    </w:p>
    <w:sectPr>
      <w:pgSz w:w="11906" w:h="16838"/>
      <w:pgMar w:top="720" w:right="720" w:bottom="720" w:left="72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932D"/>
    <w:multiLevelType w:val="singleLevel"/>
    <w:tmpl w:val="09D6932D"/>
    <w:lvl w:ilvl="0" w:tentative="0">
      <w:start w:val="1"/>
      <w:numFmt w:val="decimal"/>
      <w:lvlText w:val="%1."/>
      <w:lvlJc w:val="left"/>
      <w:pPr>
        <w:ind w:left="425" w:hanging="425"/>
      </w:pPr>
      <w:rPr>
        <w:rFonts w:hint="default"/>
      </w:rPr>
    </w:lvl>
  </w:abstractNum>
  <w:abstractNum w:abstractNumId="1">
    <w:nsid w:val="33792216"/>
    <w:multiLevelType w:val="singleLevel"/>
    <w:tmpl w:val="33792216"/>
    <w:lvl w:ilvl="0" w:tentative="0">
      <w:start w:val="1"/>
      <w:numFmt w:val="decimal"/>
      <w:lvlText w:val="%1."/>
      <w:lvlJc w:val="left"/>
      <w:pPr>
        <w:tabs>
          <w:tab w:val="left" w:pos="312"/>
        </w:tabs>
      </w:pPr>
    </w:lvl>
  </w:abstractNum>
  <w:abstractNum w:abstractNumId="2">
    <w:nsid w:val="5DB365C7"/>
    <w:multiLevelType w:val="singleLevel"/>
    <w:tmpl w:val="5DB365C7"/>
    <w:lvl w:ilvl="0" w:tentative="0">
      <w:start w:val="1"/>
      <w:numFmt w:val="decimal"/>
      <w:lvlText w:val="%1."/>
      <w:lvlJc w:val="left"/>
      <w:pPr>
        <w:ind w:left="425" w:hanging="425"/>
      </w:pPr>
      <w:rPr>
        <w:rFonts w:hint="default"/>
      </w:rPr>
    </w:lvl>
  </w:abstractNum>
  <w:abstractNum w:abstractNumId="3">
    <w:nsid w:val="6C26C783"/>
    <w:multiLevelType w:val="singleLevel"/>
    <w:tmpl w:val="6C26C783"/>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25E36"/>
    <w:rsid w:val="6D535020"/>
    <w:rsid w:val="7352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2018-11-17T11:54:00Z</dcterms:created>
  <dc:creator>雨锋</dc:creator>
  <cp:lastModifiedBy>雨锋</cp:lastModifiedBy>
  <dcterms:modified xsi:type="dcterms:W3CDTF">2018-11-17T12:04:04Z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