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CFD" w:rsidRPr="00593F67" w:rsidRDefault="00086CFD" w:rsidP="00086CFD">
      <w:pPr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15</w:t>
      </w:r>
      <w:r w:rsidRPr="00593F67">
        <w:rPr>
          <w:rFonts w:ascii="宋体" w:hAnsi="宋体" w:hint="eastAsia"/>
          <w:b/>
          <w:sz w:val="28"/>
        </w:rPr>
        <w:t xml:space="preserve">  至</w:t>
      </w:r>
      <w:r>
        <w:rPr>
          <w:rFonts w:ascii="宋体" w:hAnsi="宋体" w:hint="eastAsia"/>
          <w:b/>
          <w:sz w:val="28"/>
        </w:rPr>
        <w:t>2016</w:t>
      </w:r>
      <w:r w:rsidRPr="00593F67">
        <w:rPr>
          <w:rFonts w:ascii="宋体" w:hAnsi="宋体" w:hint="eastAsia"/>
          <w:b/>
          <w:sz w:val="28"/>
        </w:rPr>
        <w:t xml:space="preserve">  </w:t>
      </w:r>
      <w:r>
        <w:rPr>
          <w:rFonts w:ascii="宋体" w:hAnsi="宋体" w:hint="eastAsia"/>
          <w:b/>
          <w:sz w:val="28"/>
        </w:rPr>
        <w:t>第一</w:t>
      </w:r>
      <w:r w:rsidRPr="00593F67">
        <w:rPr>
          <w:rFonts w:ascii="宋体" w:hAnsi="宋体" w:hint="eastAsia"/>
          <w:b/>
          <w:sz w:val="28"/>
        </w:rPr>
        <w:t>学年 第</w:t>
      </w:r>
      <w:r>
        <w:rPr>
          <w:rFonts w:ascii="宋体" w:hAnsi="宋体" w:hint="eastAsia"/>
          <w:b/>
          <w:sz w:val="28"/>
        </w:rPr>
        <w:t xml:space="preserve"> 二</w:t>
      </w:r>
      <w:r w:rsidRPr="00593F67">
        <w:rPr>
          <w:rFonts w:ascii="宋体" w:hAnsi="宋体" w:hint="eastAsia"/>
          <w:b/>
          <w:sz w:val="28"/>
        </w:rPr>
        <w:t xml:space="preserve"> 学期</w:t>
      </w:r>
    </w:p>
    <w:p w:rsidR="00086CFD" w:rsidRDefault="00086CFD" w:rsidP="00086CFD">
      <w:pPr>
        <w:jc w:val="center"/>
        <w:rPr>
          <w:b/>
        </w:rPr>
      </w:pPr>
    </w:p>
    <w:p w:rsidR="00086CFD" w:rsidRDefault="00086CFD" w:rsidP="00086CFD">
      <w:pPr>
        <w:jc w:val="center"/>
        <w:rPr>
          <w:b/>
        </w:rPr>
      </w:pPr>
    </w:p>
    <w:p w:rsidR="00086CFD" w:rsidRDefault="00086CFD" w:rsidP="00086CFD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086CFD" w:rsidRDefault="00086CFD" w:rsidP="00086CFD">
      <w:pPr>
        <w:jc w:val="center"/>
        <w:rPr>
          <w:b/>
          <w:sz w:val="84"/>
        </w:rPr>
      </w:pPr>
    </w:p>
    <w:p w:rsidR="00086CFD" w:rsidRDefault="00086CFD" w:rsidP="00086CFD">
      <w:pPr>
        <w:jc w:val="center"/>
        <w:rPr>
          <w:b/>
          <w:sz w:val="84"/>
        </w:rPr>
      </w:pPr>
    </w:p>
    <w:p w:rsidR="00086CFD" w:rsidRDefault="00086CFD" w:rsidP="00086CF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课程名称＿外国文学名著赏析＿性质＿选修＿＿</w:t>
      </w:r>
    </w:p>
    <w:p w:rsidR="00086CFD" w:rsidRDefault="00086CFD" w:rsidP="00086CF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</w:rPr>
        <w:t>32</w:t>
      </w:r>
      <w:r>
        <w:rPr>
          <w:rFonts w:hint="eastAsia"/>
          <w:bCs/>
          <w:sz w:val="28"/>
        </w:rPr>
        <w:t>＿讲课＿</w:t>
      </w:r>
      <w:r>
        <w:rPr>
          <w:rFonts w:hint="eastAsia"/>
          <w:bCs/>
          <w:sz w:val="28"/>
        </w:rPr>
        <w:t>28</w:t>
      </w:r>
      <w:r>
        <w:rPr>
          <w:rFonts w:hint="eastAsia"/>
          <w:bCs/>
          <w:sz w:val="28"/>
        </w:rPr>
        <w:t>＿实验＿＿其它＿＿</w:t>
      </w:r>
      <w:r>
        <w:rPr>
          <w:rFonts w:hint="eastAsia"/>
          <w:bCs/>
          <w:sz w:val="28"/>
        </w:rPr>
        <w:t>4</w:t>
      </w:r>
      <w:r>
        <w:rPr>
          <w:rFonts w:hint="eastAsia"/>
          <w:bCs/>
          <w:sz w:val="28"/>
        </w:rPr>
        <w:t>＿＿＿</w:t>
      </w:r>
    </w:p>
    <w:p w:rsidR="00086CFD" w:rsidRDefault="00086CFD" w:rsidP="00086CF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授课班级＿全校本科＿＿＿学生人数＿＿＿＿＿＿</w:t>
      </w:r>
    </w:p>
    <w:p w:rsidR="00086CFD" w:rsidRDefault="00086CFD" w:rsidP="00086CF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任课教师＿＿＿孙红＿＿职称＿＿副教授＿＿＿</w:t>
      </w:r>
    </w:p>
    <w:p w:rsidR="00086CFD" w:rsidRDefault="00086CFD" w:rsidP="00086CF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)______</w:t>
      </w:r>
      <w:r>
        <w:rPr>
          <w:rFonts w:hint="eastAsia"/>
          <w:bCs/>
          <w:sz w:val="28"/>
        </w:rPr>
        <w:t>人文社科部</w:t>
      </w:r>
      <w:r>
        <w:rPr>
          <w:rFonts w:hint="eastAsia"/>
          <w:bCs/>
          <w:sz w:val="28"/>
        </w:rPr>
        <w:t>___________</w:t>
      </w:r>
    </w:p>
    <w:p w:rsidR="00086CFD" w:rsidRDefault="00086CFD" w:rsidP="00086CFD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086CFD" w:rsidRDefault="00086CFD" w:rsidP="00086CFD">
      <w:pPr>
        <w:rPr>
          <w:sz w:val="28"/>
        </w:rPr>
      </w:pPr>
      <w:r>
        <w:rPr>
          <w:rFonts w:hint="eastAsia"/>
          <w:sz w:val="28"/>
        </w:rPr>
        <w:t xml:space="preserve">　　　　教材名称：　　　　　　　　　作者：</w:t>
      </w:r>
    </w:p>
    <w:p w:rsidR="00086CFD" w:rsidRDefault="00086CFD" w:rsidP="00086CFD">
      <w:pPr>
        <w:rPr>
          <w:sz w:val="28"/>
        </w:rPr>
      </w:pPr>
      <w:r>
        <w:rPr>
          <w:rFonts w:hint="eastAsia"/>
          <w:sz w:val="28"/>
        </w:rPr>
        <w:t xml:space="preserve">　　　　出版单位：　　　　　　　　　出版时间：</w:t>
      </w:r>
    </w:p>
    <w:p w:rsidR="00086CFD" w:rsidRDefault="00086CFD" w:rsidP="00086CFD">
      <w:pPr>
        <w:jc w:val="center"/>
        <w:rPr>
          <w:sz w:val="28"/>
        </w:rPr>
      </w:pPr>
    </w:p>
    <w:p w:rsidR="00086CFD" w:rsidRDefault="00086CFD" w:rsidP="00086CFD">
      <w:pPr>
        <w:jc w:val="center"/>
        <w:rPr>
          <w:sz w:val="28"/>
        </w:rPr>
      </w:pPr>
    </w:p>
    <w:p w:rsidR="00086CFD" w:rsidRDefault="00086CFD" w:rsidP="00086CFD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086CFD" w:rsidRDefault="00086CFD" w:rsidP="00086CFD">
      <w:pPr>
        <w:rPr>
          <w:rFonts w:ascii="黑体" w:eastAsia="黑体"/>
          <w:sz w:val="24"/>
          <w:szCs w:val="24"/>
        </w:rPr>
      </w:pPr>
    </w:p>
    <w:p w:rsidR="00086CFD" w:rsidRDefault="00086CFD" w:rsidP="00086CFD">
      <w:pPr>
        <w:rPr>
          <w:rFonts w:ascii="黑体" w:eastAsia="黑体"/>
          <w:sz w:val="24"/>
          <w:szCs w:val="24"/>
        </w:rPr>
      </w:pPr>
    </w:p>
    <w:p w:rsidR="00086CFD" w:rsidRDefault="00086CFD" w:rsidP="00086CFD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086CFD" w:rsidRPr="00770A47" w:rsidRDefault="00086CFD" w:rsidP="00086CFD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086CFD" w:rsidRDefault="00086CFD" w:rsidP="00086CFD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086CFD" w:rsidRDefault="00086CFD" w:rsidP="00086CFD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86CFD" w:rsidRDefault="00086CFD" w:rsidP="00086CFD">
      <w:pPr>
        <w:ind w:left="315" w:hangingChars="150" w:hanging="315"/>
        <w:sectPr w:rsidR="00086CFD" w:rsidSect="005F1C53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Style w:val="a3"/>
        <w:tblW w:w="9174" w:type="dxa"/>
        <w:tblLook w:val="01E0" w:firstRow="1" w:lastRow="1" w:firstColumn="1" w:lastColumn="1" w:noHBand="0" w:noVBand="0"/>
      </w:tblPr>
      <w:tblGrid>
        <w:gridCol w:w="531"/>
        <w:gridCol w:w="477"/>
        <w:gridCol w:w="426"/>
        <w:gridCol w:w="4320"/>
        <w:gridCol w:w="885"/>
        <w:gridCol w:w="540"/>
        <w:gridCol w:w="540"/>
        <w:gridCol w:w="540"/>
        <w:gridCol w:w="915"/>
      </w:tblGrid>
      <w:tr w:rsidR="00086CFD" w:rsidTr="0056769A">
        <w:tc>
          <w:tcPr>
            <w:tcW w:w="1434" w:type="dxa"/>
            <w:gridSpan w:val="3"/>
            <w:shd w:val="clear" w:color="auto" w:fill="auto"/>
          </w:tcPr>
          <w:p w:rsidR="00086CFD" w:rsidRDefault="00086CFD" w:rsidP="0056769A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</w:tcPr>
          <w:p w:rsidR="00086CFD" w:rsidRDefault="00086CFD" w:rsidP="0056769A">
            <w:pPr>
              <w:jc w:val="center"/>
              <w:rPr>
                <w:sz w:val="30"/>
              </w:rPr>
            </w:pPr>
          </w:p>
          <w:p w:rsidR="00086CFD" w:rsidRDefault="00086CFD" w:rsidP="0056769A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5" w:type="dxa"/>
            <w:vMerge w:val="restart"/>
          </w:tcPr>
          <w:p w:rsidR="00086CFD" w:rsidRDefault="00086CFD" w:rsidP="0056769A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086CFD" w:rsidRPr="007F6F83" w:rsidRDefault="00086CFD" w:rsidP="0056769A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086CFD" w:rsidRDefault="00086CFD" w:rsidP="0056769A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086CFD" w:rsidRDefault="00086CFD" w:rsidP="0056769A">
            <w:pPr>
              <w:jc w:val="center"/>
            </w:pPr>
          </w:p>
        </w:tc>
        <w:tc>
          <w:tcPr>
            <w:tcW w:w="915" w:type="dxa"/>
            <w:vMerge w:val="restart"/>
          </w:tcPr>
          <w:p w:rsidR="00086CFD" w:rsidRDefault="00086CFD" w:rsidP="0056769A"/>
          <w:p w:rsidR="00086CFD" w:rsidRDefault="00086CFD" w:rsidP="0056769A"/>
          <w:p w:rsidR="00086CFD" w:rsidRDefault="00086CFD" w:rsidP="0056769A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086CFD" w:rsidTr="0056769A">
        <w:trPr>
          <w:trHeight w:val="501"/>
        </w:trPr>
        <w:tc>
          <w:tcPr>
            <w:tcW w:w="531" w:type="dxa"/>
            <w:shd w:val="clear" w:color="auto" w:fill="auto"/>
          </w:tcPr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</w:tcPr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086CFD" w:rsidRDefault="00086CFD" w:rsidP="0056769A">
            <w:pPr>
              <w:spacing w:line="240" w:lineRule="atLeast"/>
            </w:pPr>
          </w:p>
        </w:tc>
        <w:tc>
          <w:tcPr>
            <w:tcW w:w="4320" w:type="dxa"/>
            <w:vMerge/>
          </w:tcPr>
          <w:p w:rsidR="00086CFD" w:rsidRDefault="00086CFD" w:rsidP="0056769A"/>
        </w:tc>
        <w:tc>
          <w:tcPr>
            <w:tcW w:w="885" w:type="dxa"/>
            <w:vMerge/>
          </w:tcPr>
          <w:p w:rsidR="00086CFD" w:rsidRDefault="00086CFD" w:rsidP="0056769A"/>
        </w:tc>
        <w:tc>
          <w:tcPr>
            <w:tcW w:w="540" w:type="dxa"/>
          </w:tcPr>
          <w:p w:rsidR="00086CFD" w:rsidRDefault="00086CFD" w:rsidP="0056769A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086CFD" w:rsidRDefault="00086CFD" w:rsidP="0056769A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086CFD" w:rsidRDefault="00086CFD" w:rsidP="0056769A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086CFD" w:rsidRDefault="00086CFD" w:rsidP="0056769A"/>
        </w:tc>
      </w:tr>
      <w:tr w:rsidR="00086CFD" w:rsidTr="0056769A">
        <w:tc>
          <w:tcPr>
            <w:tcW w:w="531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10</w:t>
            </w: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086CFD" w:rsidRDefault="00086CFD" w:rsidP="00086CFD">
            <w:pPr>
              <w:spacing w:line="240" w:lineRule="atLeast"/>
              <w:ind w:firstLineChars="800" w:firstLine="1600"/>
            </w:pPr>
          </w:p>
          <w:p w:rsidR="00086CFD" w:rsidRDefault="00086CFD" w:rsidP="0056769A">
            <w:pPr>
              <w:spacing w:line="240" w:lineRule="atLeast"/>
              <w:ind w:leftChars="52" w:left="10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绪论：心灵的历史—西方文学的发展历程</w:t>
            </w:r>
          </w:p>
          <w:p w:rsidR="00086CFD" w:rsidRDefault="00086CFD" w:rsidP="0056769A">
            <w:pPr>
              <w:spacing w:line="240" w:lineRule="atLeast"/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第一讲：西方文学的源头（一）</w:t>
            </w:r>
          </w:p>
          <w:p w:rsidR="00086CFD" w:rsidRDefault="00086CFD" w:rsidP="0056769A">
            <w:pPr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古希腊神话；古希腊悲剧</w:t>
            </w:r>
          </w:p>
          <w:p w:rsidR="00086CFD" w:rsidRDefault="00086CFD" w:rsidP="00086CFD">
            <w:pPr>
              <w:spacing w:line="240" w:lineRule="atLeast"/>
              <w:ind w:firstLineChars="200" w:firstLine="400"/>
            </w:pPr>
          </w:p>
        </w:tc>
        <w:tc>
          <w:tcPr>
            <w:tcW w:w="885" w:type="dxa"/>
            <w:vMerge w:val="restart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Pr="002A47F5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086CFD" w:rsidRPr="002A47F5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086CFD" w:rsidRDefault="00086CFD" w:rsidP="0056769A">
            <w:pPr>
              <w:spacing w:line="240" w:lineRule="atLeast"/>
            </w:pPr>
          </w:p>
        </w:tc>
      </w:tr>
      <w:tr w:rsidR="00086CFD" w:rsidTr="0056769A">
        <w:tc>
          <w:tcPr>
            <w:tcW w:w="531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086CFD" w:rsidRDefault="00086CFD" w:rsidP="00086CFD">
            <w:pPr>
              <w:ind w:firstLineChars="200" w:firstLine="400"/>
            </w:pPr>
          </w:p>
          <w:p w:rsidR="00086CFD" w:rsidRDefault="00086CFD" w:rsidP="00086CFD">
            <w:pPr>
              <w:ind w:firstLineChars="200" w:firstLine="400"/>
              <w:rPr>
                <w:sz w:val="22"/>
                <w:szCs w:val="22"/>
              </w:rPr>
            </w:pPr>
            <w:r>
              <w:rPr>
                <w:rFonts w:hint="eastAsia"/>
              </w:rPr>
              <w:t>第二讲：</w:t>
            </w:r>
            <w:r>
              <w:rPr>
                <w:rFonts w:hint="eastAsia"/>
                <w:sz w:val="22"/>
                <w:szCs w:val="22"/>
              </w:rPr>
              <w:t>西方文学的源头（二）</w:t>
            </w:r>
          </w:p>
          <w:p w:rsidR="00086CFD" w:rsidRDefault="00086CFD" w:rsidP="0056769A">
            <w:pPr>
              <w:ind w:firstLineChars="300" w:firstLine="660"/>
            </w:pPr>
            <w:r>
              <w:rPr>
                <w:rFonts w:hint="eastAsia"/>
                <w:sz w:val="22"/>
                <w:szCs w:val="22"/>
              </w:rPr>
              <w:t>基督教文化与但丁的《神曲》</w:t>
            </w:r>
          </w:p>
          <w:p w:rsidR="00086CFD" w:rsidRPr="004E1E61" w:rsidRDefault="00086CFD" w:rsidP="00086CFD">
            <w:pPr>
              <w:ind w:firstLineChars="200" w:firstLine="400"/>
            </w:pPr>
          </w:p>
        </w:tc>
        <w:tc>
          <w:tcPr>
            <w:tcW w:w="885" w:type="dxa"/>
            <w:vMerge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086CFD" w:rsidRDefault="00086CFD" w:rsidP="0056769A">
            <w:pPr>
              <w:spacing w:line="240" w:lineRule="atLeast"/>
            </w:pPr>
          </w:p>
        </w:tc>
      </w:tr>
      <w:tr w:rsidR="00086CFD" w:rsidTr="0056769A">
        <w:tc>
          <w:tcPr>
            <w:tcW w:w="531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11</w:t>
            </w:r>
          </w:p>
          <w:p w:rsidR="00086CFD" w:rsidRDefault="00086CFD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086CFD" w:rsidRDefault="00086CFD" w:rsidP="00086CFD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</w:p>
          <w:p w:rsidR="00086CFD" w:rsidRDefault="00086CFD" w:rsidP="00086CFD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第三讲：文艺复兴—巨人的时代（一）</w:t>
            </w:r>
          </w:p>
          <w:p w:rsidR="00086CFD" w:rsidRDefault="00086CFD" w:rsidP="00086CFD">
            <w:pPr>
              <w:spacing w:line="240" w:lineRule="atLeast"/>
              <w:ind w:firstLineChars="100" w:firstLine="200"/>
            </w:pPr>
            <w:r>
              <w:rPr>
                <w:rFonts w:ascii="宋体" w:hAnsi="宋体" w:hint="eastAsia"/>
                <w:szCs w:val="21"/>
              </w:rPr>
              <w:t>文艺复兴文学概述；薄伽丘与《十日谈》</w:t>
            </w:r>
          </w:p>
        </w:tc>
        <w:tc>
          <w:tcPr>
            <w:tcW w:w="885" w:type="dxa"/>
            <w:vMerge w:val="restart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</w:tc>
      </w:tr>
      <w:tr w:rsidR="00086CFD" w:rsidTr="0056769A">
        <w:tc>
          <w:tcPr>
            <w:tcW w:w="531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086CFD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第三讲：文艺复兴—巨人的时代（二）</w:t>
            </w:r>
          </w:p>
          <w:p w:rsidR="00086CFD" w:rsidRPr="008D1AAA" w:rsidRDefault="00086CFD" w:rsidP="00086CFD">
            <w:pPr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塞万提斯与《堂吉诃德》；莎士比亚生平与创作</w:t>
            </w:r>
          </w:p>
        </w:tc>
        <w:tc>
          <w:tcPr>
            <w:tcW w:w="885" w:type="dxa"/>
            <w:vMerge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086CFD" w:rsidRDefault="00086CFD" w:rsidP="0056769A">
            <w:pPr>
              <w:spacing w:line="240" w:lineRule="atLeast"/>
            </w:pPr>
          </w:p>
        </w:tc>
      </w:tr>
      <w:tr w:rsidR="00086CFD" w:rsidTr="0056769A">
        <w:tc>
          <w:tcPr>
            <w:tcW w:w="531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12</w:t>
            </w:r>
          </w:p>
        </w:tc>
        <w:tc>
          <w:tcPr>
            <w:tcW w:w="477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086CFD" w:rsidRDefault="00086CFD" w:rsidP="0056769A">
            <w:pPr>
              <w:spacing w:line="240" w:lineRule="atLeast"/>
            </w:pPr>
          </w:p>
        </w:tc>
        <w:tc>
          <w:tcPr>
            <w:tcW w:w="4320" w:type="dxa"/>
          </w:tcPr>
          <w:p w:rsidR="00086CFD" w:rsidRDefault="00086CFD" w:rsidP="00086CFD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086CFD" w:rsidRDefault="00086CFD" w:rsidP="00086CFD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第三讲：文艺复兴—巨人的时代（三）</w:t>
            </w:r>
          </w:p>
          <w:p w:rsidR="00086CFD" w:rsidRPr="008D1AAA" w:rsidRDefault="00086CFD" w:rsidP="00086CFD">
            <w:pPr>
              <w:spacing w:line="240" w:lineRule="atLeast"/>
              <w:ind w:firstLineChars="300" w:firstLine="600"/>
            </w:pPr>
            <w:r>
              <w:rPr>
                <w:rFonts w:ascii="宋体" w:hAnsi="宋体" w:hint="eastAsia"/>
                <w:szCs w:val="21"/>
              </w:rPr>
              <w:t>《哈姆雷特》</w:t>
            </w:r>
          </w:p>
        </w:tc>
        <w:tc>
          <w:tcPr>
            <w:tcW w:w="885" w:type="dxa"/>
            <w:vMerge w:val="restart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086CFD" w:rsidRDefault="00086CFD" w:rsidP="0056769A">
            <w:pPr>
              <w:spacing w:line="240" w:lineRule="atLeast"/>
            </w:pPr>
          </w:p>
        </w:tc>
      </w:tr>
      <w:tr w:rsidR="00086CFD" w:rsidTr="0056769A">
        <w:tc>
          <w:tcPr>
            <w:tcW w:w="531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086CFD" w:rsidRDefault="00086CFD" w:rsidP="00086CFD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086CFD" w:rsidRDefault="00086CFD" w:rsidP="00086CFD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第四讲：西方文学的又一座里程碑—歌德与《浮士德》（一）</w:t>
            </w:r>
          </w:p>
          <w:p w:rsidR="00086CFD" w:rsidRDefault="00086CFD" w:rsidP="00086CFD">
            <w:pPr>
              <w:spacing w:line="240" w:lineRule="atLeast"/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启蒙文学与</w:t>
            </w:r>
            <w:proofErr w:type="gramStart"/>
            <w:r>
              <w:rPr>
                <w:rFonts w:ascii="宋体" w:hAnsi="宋体" w:hint="eastAsia"/>
                <w:szCs w:val="21"/>
              </w:rPr>
              <w:t>卢</w:t>
            </w:r>
            <w:proofErr w:type="gramEnd"/>
            <w:r>
              <w:rPr>
                <w:rFonts w:ascii="宋体" w:hAnsi="宋体" w:hint="eastAsia"/>
                <w:szCs w:val="21"/>
              </w:rPr>
              <w:t>梭</w:t>
            </w:r>
          </w:p>
          <w:p w:rsidR="00086CFD" w:rsidRPr="008D1AAA" w:rsidRDefault="00086CFD" w:rsidP="00086CFD">
            <w:pPr>
              <w:spacing w:line="240" w:lineRule="atLeast"/>
              <w:ind w:firstLineChars="300" w:firstLine="600"/>
            </w:pPr>
          </w:p>
        </w:tc>
        <w:tc>
          <w:tcPr>
            <w:tcW w:w="885" w:type="dxa"/>
            <w:vMerge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086CFD" w:rsidRDefault="00086CFD" w:rsidP="0056769A">
            <w:pPr>
              <w:spacing w:line="240" w:lineRule="atLeast"/>
            </w:pPr>
          </w:p>
        </w:tc>
      </w:tr>
      <w:tr w:rsidR="00086CFD" w:rsidTr="0056769A">
        <w:tc>
          <w:tcPr>
            <w:tcW w:w="531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13</w:t>
            </w:r>
          </w:p>
        </w:tc>
        <w:tc>
          <w:tcPr>
            <w:tcW w:w="477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086CFD" w:rsidRDefault="00086CFD" w:rsidP="00086CFD">
            <w:pPr>
              <w:ind w:firstLineChars="300" w:firstLine="600"/>
            </w:pPr>
          </w:p>
          <w:p w:rsidR="00086CFD" w:rsidRDefault="00086CFD" w:rsidP="00086CFD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第四讲：西方文学的又一座里程碑—歌德与《浮士德》（二）</w:t>
            </w:r>
          </w:p>
          <w:p w:rsidR="00086CFD" w:rsidRDefault="00086CFD" w:rsidP="00086CFD">
            <w:pPr>
              <w:spacing w:line="240" w:lineRule="atLeast"/>
              <w:ind w:firstLineChars="300" w:firstLine="600"/>
            </w:pPr>
            <w:r>
              <w:rPr>
                <w:rFonts w:ascii="宋体" w:hAnsi="宋体" w:hint="eastAsia"/>
                <w:szCs w:val="21"/>
              </w:rPr>
              <w:t>歌德生平；《浮士德》</w:t>
            </w:r>
          </w:p>
          <w:p w:rsidR="00086CFD" w:rsidRPr="005B6484" w:rsidRDefault="00086CFD" w:rsidP="00086CFD">
            <w:pPr>
              <w:ind w:firstLineChars="150" w:firstLine="300"/>
            </w:pPr>
          </w:p>
        </w:tc>
        <w:tc>
          <w:tcPr>
            <w:tcW w:w="885" w:type="dxa"/>
            <w:vMerge w:val="restart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086CFD" w:rsidRDefault="00086CFD" w:rsidP="0056769A">
            <w:pPr>
              <w:spacing w:line="240" w:lineRule="atLeast"/>
            </w:pPr>
          </w:p>
        </w:tc>
      </w:tr>
      <w:tr w:rsidR="00086CFD" w:rsidTr="0056769A">
        <w:tc>
          <w:tcPr>
            <w:tcW w:w="531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086CFD" w:rsidRDefault="00086CFD" w:rsidP="00086CFD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086CFD" w:rsidRDefault="00086CFD" w:rsidP="00086CFD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第五讲：浪漫主义与雨果（一）</w:t>
            </w:r>
          </w:p>
          <w:p w:rsidR="00086CFD" w:rsidRPr="00353867" w:rsidRDefault="00086CFD" w:rsidP="00086CFD">
            <w:pPr>
              <w:spacing w:line="240" w:lineRule="atLeast"/>
              <w:ind w:firstLineChars="200" w:firstLine="400"/>
            </w:pPr>
            <w:r>
              <w:rPr>
                <w:rFonts w:ascii="宋体" w:hAnsi="宋体" w:hint="eastAsia"/>
                <w:szCs w:val="21"/>
              </w:rPr>
              <w:t>浪漫主义文学概述；雨果生平与创作</w:t>
            </w:r>
          </w:p>
        </w:tc>
        <w:tc>
          <w:tcPr>
            <w:tcW w:w="885" w:type="dxa"/>
            <w:vMerge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</w:tc>
      </w:tr>
      <w:tr w:rsidR="00086CFD" w:rsidTr="0056769A">
        <w:tc>
          <w:tcPr>
            <w:tcW w:w="531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lastRenderedPageBreak/>
              <w:t>14</w:t>
            </w:r>
          </w:p>
        </w:tc>
        <w:tc>
          <w:tcPr>
            <w:tcW w:w="477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lastRenderedPageBreak/>
              <w:t>3</w:t>
            </w:r>
          </w:p>
        </w:tc>
        <w:tc>
          <w:tcPr>
            <w:tcW w:w="426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lastRenderedPageBreak/>
              <w:t>4</w:t>
            </w:r>
          </w:p>
        </w:tc>
        <w:tc>
          <w:tcPr>
            <w:tcW w:w="4320" w:type="dxa"/>
          </w:tcPr>
          <w:p w:rsidR="00086CFD" w:rsidRDefault="00086CFD" w:rsidP="00086CFD">
            <w:pPr>
              <w:ind w:firstLineChars="300" w:firstLine="600"/>
              <w:rPr>
                <w:rFonts w:ascii="宋体" w:hAnsi="宋体"/>
                <w:szCs w:val="21"/>
              </w:rPr>
            </w:pPr>
          </w:p>
          <w:p w:rsidR="00086CFD" w:rsidRDefault="00086CFD" w:rsidP="00086CFD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第五讲：浪漫主义与雨果（二）</w:t>
            </w:r>
          </w:p>
          <w:p w:rsidR="00086CFD" w:rsidRDefault="00086CFD" w:rsidP="00086CFD">
            <w:pPr>
              <w:spacing w:line="240" w:lineRule="atLeast"/>
              <w:ind w:firstLineChars="600" w:firstLine="1200"/>
            </w:pPr>
            <w:r>
              <w:rPr>
                <w:rFonts w:ascii="宋体" w:hAnsi="宋体" w:hint="eastAsia"/>
                <w:szCs w:val="21"/>
              </w:rPr>
              <w:lastRenderedPageBreak/>
              <w:t>《巴黎圣母院》</w:t>
            </w:r>
          </w:p>
          <w:p w:rsidR="00086CFD" w:rsidRPr="005B6484" w:rsidRDefault="00086CFD" w:rsidP="00086CFD">
            <w:pPr>
              <w:ind w:firstLineChars="200" w:firstLine="400"/>
            </w:pPr>
          </w:p>
        </w:tc>
        <w:tc>
          <w:tcPr>
            <w:tcW w:w="885" w:type="dxa"/>
            <w:vMerge w:val="restart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</w:tc>
      </w:tr>
      <w:tr w:rsidR="00086CFD" w:rsidTr="0056769A">
        <w:tc>
          <w:tcPr>
            <w:tcW w:w="531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086CFD" w:rsidRDefault="00086CFD" w:rsidP="0056769A"/>
          <w:p w:rsidR="00086CFD" w:rsidRDefault="00086CFD" w:rsidP="00086CFD">
            <w:pPr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第六讲：现实主义文学（一）</w:t>
            </w:r>
          </w:p>
          <w:p w:rsidR="00086CFD" w:rsidRDefault="00086CFD" w:rsidP="00086CFD">
            <w:pPr>
              <w:ind w:firstLineChars="500" w:firstLine="10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现实主义文学概述； </w:t>
            </w:r>
          </w:p>
          <w:p w:rsidR="00086CFD" w:rsidRPr="00A058E2" w:rsidRDefault="00086CFD" w:rsidP="005676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Merge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086CFD" w:rsidRDefault="00086CFD" w:rsidP="0056769A">
            <w:pPr>
              <w:spacing w:line="240" w:lineRule="atLeast"/>
            </w:pPr>
          </w:p>
        </w:tc>
      </w:tr>
      <w:tr w:rsidR="00086CFD" w:rsidTr="0056769A">
        <w:tc>
          <w:tcPr>
            <w:tcW w:w="531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15</w:t>
            </w:r>
          </w:p>
          <w:p w:rsidR="00086CFD" w:rsidRDefault="00086CFD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086CFD">
            <w:pPr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第六讲：现实主义文学（二）</w:t>
            </w:r>
          </w:p>
          <w:p w:rsidR="00086CFD" w:rsidRDefault="00086CFD" w:rsidP="00086CFD">
            <w:pPr>
              <w:spacing w:line="240" w:lineRule="atLeast"/>
              <w:ind w:firstLineChars="450" w:firstLine="900"/>
            </w:pPr>
            <w:r>
              <w:rPr>
                <w:rFonts w:ascii="宋体" w:hAnsi="宋体" w:hint="eastAsia"/>
                <w:szCs w:val="21"/>
              </w:rPr>
              <w:t>巴尔扎克与《高老头》</w:t>
            </w:r>
          </w:p>
        </w:tc>
        <w:tc>
          <w:tcPr>
            <w:tcW w:w="885" w:type="dxa"/>
            <w:vMerge w:val="restart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</w:tc>
      </w:tr>
      <w:tr w:rsidR="00086CFD" w:rsidTr="0056769A">
        <w:tc>
          <w:tcPr>
            <w:tcW w:w="531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086CFD">
            <w:pPr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第六讲：现实主义文学（三）</w:t>
            </w:r>
          </w:p>
          <w:p w:rsidR="00086CFD" w:rsidRDefault="00086CFD" w:rsidP="00086CFD">
            <w:pPr>
              <w:ind w:firstLineChars="307" w:firstLine="614"/>
            </w:pPr>
            <w:r>
              <w:rPr>
                <w:rFonts w:ascii="宋体" w:hAnsi="宋体" w:hint="eastAsia"/>
                <w:szCs w:val="21"/>
              </w:rPr>
              <w:t>英国勃朗特姐妹与《简爱》、《呼啸山庄》</w:t>
            </w:r>
          </w:p>
        </w:tc>
        <w:tc>
          <w:tcPr>
            <w:tcW w:w="885" w:type="dxa"/>
            <w:vMerge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</w:tc>
      </w:tr>
      <w:tr w:rsidR="00086CFD" w:rsidTr="0056769A">
        <w:tc>
          <w:tcPr>
            <w:tcW w:w="531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16</w:t>
            </w:r>
          </w:p>
          <w:p w:rsidR="00086CFD" w:rsidRDefault="00086CFD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086CFD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第七讲：茫茫雪原上的心灵之旅—俄罗斯文学（一）</w:t>
            </w:r>
          </w:p>
          <w:p w:rsidR="00086CFD" w:rsidRDefault="00086CFD" w:rsidP="00086CFD">
            <w:pPr>
              <w:spacing w:line="240" w:lineRule="atLeast"/>
              <w:ind w:firstLineChars="250" w:firstLine="5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俄罗斯文学概述；陀思妥耶夫斯基与《罪与罚》</w:t>
            </w:r>
          </w:p>
          <w:p w:rsidR="00086CFD" w:rsidRDefault="00086CFD" w:rsidP="00086CFD">
            <w:pPr>
              <w:spacing w:line="240" w:lineRule="atLeast"/>
              <w:ind w:firstLineChars="250" w:firstLine="500"/>
            </w:pPr>
          </w:p>
        </w:tc>
        <w:tc>
          <w:tcPr>
            <w:tcW w:w="885" w:type="dxa"/>
            <w:vMerge w:val="restart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</w:tc>
      </w:tr>
      <w:tr w:rsidR="00086CFD" w:rsidTr="0056769A">
        <w:tc>
          <w:tcPr>
            <w:tcW w:w="531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086CFD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第七讲：茫茫雪原上的心灵之旅—俄罗斯文学（二）</w:t>
            </w:r>
          </w:p>
          <w:p w:rsidR="00086CFD" w:rsidRDefault="00086CFD" w:rsidP="00086CFD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列夫·托尔斯泰与《安娜·卡列尼娜》</w:t>
            </w:r>
          </w:p>
          <w:p w:rsidR="00086CFD" w:rsidRDefault="00086CFD" w:rsidP="00086CFD">
            <w:pPr>
              <w:spacing w:line="240" w:lineRule="atLeast"/>
              <w:ind w:firstLineChars="200" w:firstLine="400"/>
            </w:pPr>
          </w:p>
        </w:tc>
        <w:tc>
          <w:tcPr>
            <w:tcW w:w="885" w:type="dxa"/>
            <w:vMerge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阅读小组学生代表学习汇报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学时</w:t>
            </w:r>
          </w:p>
          <w:p w:rsidR="00086CFD" w:rsidRPr="00175A90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</w:tc>
      </w:tr>
      <w:tr w:rsidR="00086CFD" w:rsidTr="0056769A">
        <w:tc>
          <w:tcPr>
            <w:tcW w:w="531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17</w:t>
            </w:r>
          </w:p>
          <w:p w:rsidR="00086CFD" w:rsidRDefault="00086CFD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086CFD">
            <w:pPr>
              <w:ind w:firstLineChars="300" w:firstLine="600"/>
            </w:pPr>
            <w:r>
              <w:rPr>
                <w:rFonts w:hint="eastAsia"/>
              </w:rPr>
              <w:t>第八讲：人的异化与文学的反抗—现代主义</w:t>
            </w:r>
          </w:p>
          <w:p w:rsidR="00086CFD" w:rsidRDefault="00086CFD" w:rsidP="00086CFD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现代主义文学概述；卡夫卡与《变形记》</w:t>
            </w:r>
          </w:p>
          <w:p w:rsidR="00086CFD" w:rsidRDefault="00086CFD" w:rsidP="00086CFD">
            <w:pPr>
              <w:spacing w:line="240" w:lineRule="atLeast"/>
              <w:ind w:firstLineChars="150" w:firstLine="300"/>
            </w:pPr>
          </w:p>
        </w:tc>
        <w:tc>
          <w:tcPr>
            <w:tcW w:w="885" w:type="dxa"/>
            <w:vMerge w:val="restart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阅读小组学生代表学习汇报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学时</w:t>
            </w:r>
          </w:p>
          <w:p w:rsidR="00086CFD" w:rsidRDefault="00086CFD" w:rsidP="0056769A">
            <w:pPr>
              <w:spacing w:line="240" w:lineRule="atLeast"/>
            </w:pPr>
          </w:p>
        </w:tc>
      </w:tr>
      <w:tr w:rsidR="00086CFD" w:rsidTr="0056769A">
        <w:tc>
          <w:tcPr>
            <w:tcW w:w="531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</w:tc>
        <w:tc>
          <w:tcPr>
            <w:tcW w:w="477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086CFD">
            <w:pPr>
              <w:spacing w:line="240" w:lineRule="atLeast"/>
              <w:ind w:firstLineChars="650" w:firstLine="1300"/>
            </w:pPr>
          </w:p>
          <w:p w:rsidR="00086CFD" w:rsidRDefault="00086CFD" w:rsidP="00086CFD">
            <w:pPr>
              <w:spacing w:line="240" w:lineRule="atLeast"/>
              <w:ind w:firstLineChars="650" w:firstLine="1300"/>
            </w:pPr>
            <w:r>
              <w:rPr>
                <w:rFonts w:hint="eastAsia"/>
              </w:rPr>
              <w:t>大作业</w:t>
            </w:r>
          </w:p>
        </w:tc>
        <w:tc>
          <w:tcPr>
            <w:tcW w:w="885" w:type="dxa"/>
            <w:vMerge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540" w:type="dxa"/>
          </w:tcPr>
          <w:p w:rsidR="00086CFD" w:rsidRDefault="00086CFD" w:rsidP="0056769A">
            <w:pPr>
              <w:spacing w:line="240" w:lineRule="atLeast"/>
            </w:pPr>
          </w:p>
        </w:tc>
        <w:tc>
          <w:tcPr>
            <w:tcW w:w="915" w:type="dxa"/>
          </w:tcPr>
          <w:p w:rsidR="00086CFD" w:rsidRDefault="00086CFD" w:rsidP="0056769A">
            <w:pPr>
              <w:spacing w:line="240" w:lineRule="atLeast"/>
            </w:pPr>
          </w:p>
          <w:p w:rsidR="00086CFD" w:rsidRDefault="00086CFD" w:rsidP="0056769A">
            <w:pPr>
              <w:spacing w:line="240" w:lineRule="atLeast"/>
            </w:pPr>
            <w:r>
              <w:rPr>
                <w:rFonts w:hint="eastAsia"/>
              </w:rPr>
              <w:t>大作业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</w:tbl>
    <w:p w:rsidR="00086CFD" w:rsidRDefault="00086CFD" w:rsidP="00086CFD"/>
    <w:p w:rsidR="00086CFD" w:rsidRDefault="00086CFD" w:rsidP="00086CFD"/>
    <w:p w:rsidR="00086CFD" w:rsidRDefault="00086CFD" w:rsidP="00086CFD"/>
    <w:p w:rsidR="00086CFD" w:rsidRDefault="00086CFD" w:rsidP="00086CFD"/>
    <w:p w:rsidR="00086CFD" w:rsidRDefault="00086CFD" w:rsidP="00086CFD"/>
    <w:p w:rsidR="00C4447D" w:rsidRDefault="00086CFD">
      <w:bookmarkStart w:id="0" w:name="_GoBack"/>
      <w:bookmarkEnd w:id="0"/>
    </w:p>
    <w:sectPr w:rsidR="00C44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CFD"/>
    <w:rsid w:val="00086CFD"/>
    <w:rsid w:val="007364F0"/>
    <w:rsid w:val="00A9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CF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6CF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CF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6CF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Silver Bullet</dc:creator>
  <cp:lastModifiedBy>Silver Bullet</cp:lastModifiedBy>
  <cp:revision>1</cp:revision>
  <dcterms:created xsi:type="dcterms:W3CDTF">2016-03-03T09:49:00Z</dcterms:created>
  <dcterms:modified xsi:type="dcterms:W3CDTF">2016-03-03T09:50:00Z</dcterms:modified>
</cp:coreProperties>
</file>