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4" w:rsidRDefault="00DC0424" w:rsidP="00DC0424">
      <w:pPr>
        <w:jc w:val="center"/>
        <w:rPr>
          <w:rFonts w:ascii="宋体" w:eastAsia="宋体" w:hAnsi="宋体"/>
          <w:b/>
          <w:sz w:val="30"/>
        </w:rPr>
      </w:pPr>
      <w:r>
        <w:rPr>
          <w:rFonts w:ascii="宋体" w:eastAsia="宋体" w:hAnsi="宋体" w:hint="eastAsia"/>
          <w:b/>
          <w:sz w:val="30"/>
        </w:rPr>
        <w:t>中国石油大学（北京）硕士研究生入学考试大纲</w:t>
      </w:r>
    </w:p>
    <w:p w:rsidR="00DC0424" w:rsidRDefault="00DC0424" w:rsidP="00DC0424">
      <w:pPr>
        <w:spacing w:line="276" w:lineRule="auto"/>
        <w:jc w:val="center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 w:hint="eastAsia"/>
          <w:b/>
          <w:sz w:val="30"/>
        </w:rPr>
        <w:t>《</w:t>
      </w:r>
      <w:r>
        <w:rPr>
          <w:rFonts w:ascii="宋体" w:eastAsia="宋体" w:hAnsi="宋体" w:hint="eastAsia"/>
          <w:b/>
          <w:sz w:val="30"/>
        </w:rPr>
        <w:t>财务管理学</w:t>
      </w:r>
      <w:r>
        <w:rPr>
          <w:rFonts w:ascii="宋体" w:eastAsia="宋体" w:hAnsi="宋体" w:hint="eastAsia"/>
          <w:b/>
          <w:sz w:val="30"/>
        </w:rPr>
        <w:t>》</w:t>
      </w:r>
    </w:p>
    <w:p w:rsidR="00DC0424" w:rsidRPr="0013103C" w:rsidRDefault="0013103C" w:rsidP="0013103C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考试范围：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第1章 总论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1.1 财务管理的概念</w:t>
      </w:r>
      <w:r w:rsidRPr="00942C19">
        <w:rPr>
          <w:rFonts w:cs="Segoe UI"/>
          <w:color w:val="0F1115"/>
        </w:rPr>
        <w:br/>
        <w:t>1.2 财务管理的目标</w:t>
      </w:r>
      <w:r w:rsidRPr="00942C19">
        <w:rPr>
          <w:rFonts w:cs="Segoe UI"/>
          <w:color w:val="0F1115"/>
        </w:rPr>
        <w:br/>
        <w:t>1.3 企业组织形式与财务经理</w:t>
      </w:r>
      <w:r w:rsidRPr="00942C19">
        <w:rPr>
          <w:rFonts w:cs="Segoe UI"/>
          <w:color w:val="0F1115"/>
        </w:rPr>
        <w:br/>
        <w:t>1.4 财务管理的环境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第2章 财务管理的价值观念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2.1 货币时间价值</w:t>
      </w:r>
      <w:r w:rsidRPr="00942C19">
        <w:rPr>
          <w:rFonts w:cs="Segoe UI"/>
          <w:color w:val="0F1115"/>
        </w:rPr>
        <w:br/>
        <w:t>2.2 风险与报酬</w:t>
      </w:r>
      <w:r w:rsidRPr="00942C19">
        <w:rPr>
          <w:rFonts w:cs="Segoe UI"/>
          <w:color w:val="0F1115"/>
        </w:rPr>
        <w:br/>
        <w:t>2.3 证券估值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第3章 财务分析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3.1 财务分析概述</w:t>
      </w:r>
      <w:r w:rsidRPr="00942C19">
        <w:rPr>
          <w:rFonts w:cs="Segoe UI"/>
          <w:color w:val="0F1115"/>
        </w:rPr>
        <w:br/>
        <w:t>3.2 财务能力分析</w:t>
      </w:r>
      <w:r w:rsidRPr="00942C19">
        <w:rPr>
          <w:rFonts w:cs="Segoe UI"/>
          <w:color w:val="0F1115"/>
        </w:rPr>
        <w:br/>
        <w:t>3.3 财务趋势分析</w:t>
      </w:r>
      <w:r w:rsidRPr="00942C19">
        <w:rPr>
          <w:rFonts w:cs="Segoe UI"/>
          <w:color w:val="0F1115"/>
        </w:rPr>
        <w:br/>
        <w:t>3.4 财务综合分析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第4章 财务战略与预算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4.1 财务战略</w:t>
      </w:r>
      <w:r w:rsidRPr="00942C19">
        <w:rPr>
          <w:rFonts w:cs="Segoe UI"/>
          <w:color w:val="0F1115"/>
        </w:rPr>
        <w:br/>
        <w:t>4.2 财务预测</w:t>
      </w:r>
      <w:r w:rsidRPr="00942C19">
        <w:rPr>
          <w:rFonts w:cs="Segoe UI"/>
          <w:color w:val="0F1115"/>
        </w:rPr>
        <w:br/>
        <w:t>4.3 财务预算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第5章 长期筹资方式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5.1 长期筹资概述</w:t>
      </w:r>
      <w:r w:rsidRPr="00942C19">
        <w:rPr>
          <w:rFonts w:cs="Segoe UI"/>
          <w:color w:val="0F1115"/>
        </w:rPr>
        <w:br/>
        <w:t>5.2 股权筹资</w:t>
      </w:r>
      <w:r w:rsidRPr="00942C19">
        <w:rPr>
          <w:rFonts w:cs="Segoe UI"/>
          <w:color w:val="0F1115"/>
        </w:rPr>
        <w:br/>
        <w:t>5.3 债务筹资</w:t>
      </w:r>
      <w:r w:rsidRPr="00942C19">
        <w:rPr>
          <w:rFonts w:cs="Segoe UI"/>
          <w:color w:val="0F1115"/>
        </w:rPr>
        <w:br/>
        <w:t>5.4 混合筹资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lastRenderedPageBreak/>
        <w:t>第6章 资本结构决策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6.1 资本结构的理论</w:t>
      </w:r>
      <w:r w:rsidRPr="00942C19">
        <w:rPr>
          <w:rFonts w:cs="Segoe UI"/>
          <w:color w:val="0F1115"/>
        </w:rPr>
        <w:br/>
        <w:t>6.2 资本成本的测算</w:t>
      </w:r>
      <w:r w:rsidRPr="00942C19">
        <w:rPr>
          <w:rFonts w:cs="Segoe UI"/>
          <w:color w:val="0F1115"/>
        </w:rPr>
        <w:br/>
        <w:t>6.3 杠杆利益与风险的衡量</w:t>
      </w:r>
      <w:r w:rsidRPr="00942C19">
        <w:rPr>
          <w:rFonts w:cs="Segoe UI"/>
          <w:color w:val="0F1115"/>
        </w:rPr>
        <w:br/>
        <w:t>6.4 资本结构决策分析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第7章 投资决策原理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7.1 长期投资概述</w:t>
      </w:r>
      <w:r w:rsidRPr="00942C19">
        <w:rPr>
          <w:rFonts w:cs="Segoe UI"/>
          <w:color w:val="0F1115"/>
        </w:rPr>
        <w:br/>
        <w:t>7.2 投资现金流量的分析</w:t>
      </w:r>
      <w:r w:rsidRPr="00942C19">
        <w:rPr>
          <w:rFonts w:cs="Segoe UI"/>
          <w:color w:val="0F1115"/>
        </w:rPr>
        <w:br/>
        <w:t>7.3 折现现金流量方法</w:t>
      </w:r>
      <w:r w:rsidRPr="00942C19">
        <w:rPr>
          <w:rFonts w:cs="Segoe UI"/>
          <w:color w:val="0F1115"/>
        </w:rPr>
        <w:br/>
        <w:t>7.4 非折现现金流量方法</w:t>
      </w:r>
      <w:r w:rsidRPr="00942C19">
        <w:rPr>
          <w:rFonts w:cs="Segoe UI"/>
          <w:color w:val="0F1115"/>
        </w:rPr>
        <w:br/>
        <w:t>7.5 投资决策指标的比较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第8章 投资决策实务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8.1 现实中现金流量的计算</w:t>
      </w:r>
      <w:r w:rsidRPr="00942C19">
        <w:rPr>
          <w:rFonts w:cs="Segoe UI"/>
          <w:color w:val="0F1115"/>
        </w:rPr>
        <w:br/>
        <w:t>8.2 项目投资决策</w:t>
      </w:r>
      <w:r w:rsidRPr="00942C19">
        <w:rPr>
          <w:rFonts w:cs="Segoe UI"/>
          <w:color w:val="0F1115"/>
        </w:rPr>
        <w:br/>
        <w:t>8.3 风险投资决策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第9章 短期资产管理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9.1 营运资本管理</w:t>
      </w:r>
      <w:r w:rsidRPr="00942C19">
        <w:rPr>
          <w:rFonts w:cs="Segoe UI"/>
          <w:color w:val="0F1115"/>
        </w:rPr>
        <w:br/>
        <w:t>9.2 短期资产管理政策</w:t>
      </w:r>
      <w:r w:rsidRPr="00942C19">
        <w:rPr>
          <w:rFonts w:cs="Segoe UI"/>
          <w:color w:val="0F1115"/>
        </w:rPr>
        <w:br/>
        <w:t>9.3 现金管理</w:t>
      </w:r>
      <w:r w:rsidRPr="00942C19">
        <w:rPr>
          <w:rFonts w:cs="Segoe UI"/>
          <w:color w:val="0F1115"/>
        </w:rPr>
        <w:br/>
        <w:t>9.4 短期金融资产管理</w:t>
      </w:r>
      <w:r w:rsidRPr="00942C19">
        <w:rPr>
          <w:rFonts w:cs="Segoe UI"/>
          <w:color w:val="0F1115"/>
        </w:rPr>
        <w:br/>
        <w:t>9.5 应收账款管理</w:t>
      </w:r>
      <w:r w:rsidRPr="00942C19">
        <w:rPr>
          <w:rFonts w:cs="Segoe UI"/>
          <w:color w:val="0F1115"/>
        </w:rPr>
        <w:br/>
        <w:t>9.6 存货规划及控制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第10章 短期筹资管理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10.1 短期筹资政策</w:t>
      </w:r>
      <w:r w:rsidRPr="00942C19">
        <w:rPr>
          <w:rFonts w:cs="Segoe UI"/>
          <w:color w:val="0F1115"/>
        </w:rPr>
        <w:br/>
        <w:t>10.2 自然筹资</w:t>
      </w:r>
      <w:r w:rsidRPr="00942C19">
        <w:rPr>
          <w:rFonts w:cs="Segoe UI"/>
          <w:color w:val="0F1115"/>
        </w:rPr>
        <w:br/>
        <w:t>10.3 短期借款筹资</w:t>
      </w:r>
      <w:r w:rsidRPr="00942C19">
        <w:rPr>
          <w:rFonts w:cs="Segoe UI"/>
          <w:color w:val="0F1115"/>
        </w:rPr>
        <w:br/>
        <w:t>10.4 短期融资券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lastRenderedPageBreak/>
        <w:t>第11章 股利理论与政策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11.1 股利及其分配</w:t>
      </w:r>
      <w:r w:rsidRPr="00942C19">
        <w:rPr>
          <w:rFonts w:cs="Segoe UI"/>
          <w:color w:val="0F1115"/>
        </w:rPr>
        <w:br/>
        <w:t>11.2 股利理论</w:t>
      </w:r>
      <w:r w:rsidRPr="00942C19">
        <w:rPr>
          <w:rFonts w:cs="Segoe UI"/>
          <w:color w:val="0F1115"/>
        </w:rPr>
        <w:br/>
        <w:t>11.3 股利政策及其选择</w:t>
      </w:r>
      <w:r w:rsidRPr="00942C19">
        <w:rPr>
          <w:rFonts w:cs="Segoe UI"/>
          <w:color w:val="0F1115"/>
        </w:rPr>
        <w:br/>
        <w:t>11.4 股票分割与股票回购</w:t>
      </w:r>
    </w:p>
    <w:p w:rsidR="00562EE0" w:rsidRPr="00942C19" w:rsidRDefault="00562EE0" w:rsidP="00562EE0">
      <w:pPr>
        <w:pStyle w:val="3"/>
        <w:shd w:val="clear" w:color="auto" w:fill="FFFFFF"/>
        <w:spacing w:before="480" w:after="240" w:line="450" w:lineRule="atLeast"/>
        <w:rPr>
          <w:rFonts w:ascii="宋体" w:eastAsia="宋体" w:hAnsi="宋体" w:cs="Segoe UI"/>
          <w:color w:val="0F1115"/>
          <w:sz w:val="24"/>
          <w:szCs w:val="24"/>
        </w:rPr>
      </w:pPr>
      <w:r w:rsidRPr="00942C19">
        <w:rPr>
          <w:rFonts w:ascii="宋体" w:eastAsia="宋体" w:hAnsi="宋体" w:cs="Segoe UI"/>
          <w:color w:val="0F1115"/>
          <w:sz w:val="24"/>
          <w:szCs w:val="24"/>
        </w:rPr>
        <w:t>第12章 并购与重组</w:t>
      </w:r>
    </w:p>
    <w:p w:rsidR="00562EE0" w:rsidRPr="00942C19" w:rsidRDefault="00562EE0" w:rsidP="00562EE0">
      <w:pPr>
        <w:pStyle w:val="ds-markdown-paragraph"/>
        <w:shd w:val="clear" w:color="auto" w:fill="FFFFFF"/>
        <w:spacing w:before="240" w:beforeAutospacing="0"/>
        <w:rPr>
          <w:rFonts w:cs="Segoe UI"/>
          <w:color w:val="0F1115"/>
        </w:rPr>
      </w:pPr>
      <w:r w:rsidRPr="00942C19">
        <w:rPr>
          <w:rFonts w:cs="Segoe UI"/>
          <w:color w:val="0F1115"/>
        </w:rPr>
        <w:t>12.1 公司并购</w:t>
      </w:r>
      <w:r w:rsidRPr="00942C19">
        <w:rPr>
          <w:rFonts w:cs="Segoe UI"/>
          <w:color w:val="0F1115"/>
        </w:rPr>
        <w:br/>
        <w:t>12.2 公司重组</w:t>
      </w:r>
      <w:r w:rsidRPr="00942C19">
        <w:rPr>
          <w:rFonts w:cs="Segoe UI"/>
          <w:color w:val="0F1115"/>
        </w:rPr>
        <w:br/>
        <w:t>12.3 财务预警</w:t>
      </w:r>
      <w:r w:rsidRPr="00942C19">
        <w:rPr>
          <w:rFonts w:cs="Segoe UI"/>
          <w:color w:val="0F1115"/>
        </w:rPr>
        <w:br/>
        <w:t>12.4 破产、重整与清算</w:t>
      </w:r>
    </w:p>
    <w:p w:rsidR="00DC0424" w:rsidRDefault="00DC0424" w:rsidP="00562EE0">
      <w:pPr>
        <w:pStyle w:val="a4"/>
        <w:shd w:val="clear" w:color="auto" w:fill="FFFFFF"/>
        <w:spacing w:before="0" w:beforeAutospacing="0" w:after="0" w:afterAutospacing="0" w:line="420" w:lineRule="atLeast"/>
        <w:rPr>
          <w:color w:val="333333"/>
        </w:rPr>
      </w:pPr>
      <w:bookmarkStart w:id="0" w:name="_GoBack"/>
      <w:bookmarkEnd w:id="0"/>
    </w:p>
    <w:p w:rsidR="00562EE0" w:rsidRDefault="00DC0424" w:rsidP="00DC0424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参考教材</w:t>
      </w:r>
    </w:p>
    <w:p w:rsidR="00DC0424" w:rsidRPr="00562EE0" w:rsidRDefault="00DC0424" w:rsidP="00DC0424">
      <w:pPr>
        <w:pStyle w:val="ds-markdown-paragraph"/>
        <w:shd w:val="clear" w:color="auto" w:fill="FFFFFF"/>
        <w:spacing w:before="240" w:beforeAutospacing="0" w:after="240" w:afterAutospacing="0"/>
        <w:rPr>
          <w:rFonts w:cs="Segoe UI"/>
          <w:color w:val="0F1115"/>
        </w:rPr>
      </w:pPr>
      <w:r w:rsidRPr="00562EE0">
        <w:rPr>
          <w:rFonts w:cs="Segoe UI"/>
          <w:color w:val="0F1115"/>
        </w:rPr>
        <w:t>财务管理学（第9版·立体化数字教材版</w:t>
      </w:r>
      <w:r w:rsidRPr="00942C19">
        <w:rPr>
          <w:rFonts w:cs="Segoe UI" w:hint="eastAsia"/>
          <w:color w:val="0F1115"/>
        </w:rPr>
        <w:t>，</w:t>
      </w:r>
      <w:r w:rsidRPr="00562EE0">
        <w:rPr>
          <w:rFonts w:cs="Segoe UI"/>
          <w:color w:val="0F1115"/>
        </w:rPr>
        <w:t>中国人民大学会计系列教材)</w:t>
      </w:r>
      <w:r>
        <w:rPr>
          <w:rFonts w:cs="Segoe UI" w:hint="eastAsia"/>
          <w:color w:val="0F1115"/>
        </w:rPr>
        <w:t>，</w:t>
      </w:r>
      <w:r w:rsidRPr="00562EE0">
        <w:rPr>
          <w:rFonts w:cs="Segoe UI"/>
          <w:color w:val="0F1115"/>
        </w:rPr>
        <w:t>王化成 刘俊彦 荆新</w:t>
      </w:r>
      <w:r>
        <w:rPr>
          <w:rFonts w:cs="Segoe UI" w:hint="eastAsia"/>
          <w:color w:val="0F1115"/>
        </w:rPr>
        <w:t>主编</w:t>
      </w:r>
      <w:r w:rsidRPr="00942C19">
        <w:rPr>
          <w:rFonts w:cs="Segoe UI" w:hint="eastAsia"/>
          <w:color w:val="0F1115"/>
        </w:rPr>
        <w:t>，</w:t>
      </w:r>
      <w:hyperlink r:id="rId7" w:tgtFrame="_blank" w:history="1">
        <w:r w:rsidRPr="00942C19">
          <w:rPr>
            <w:rFonts w:cs="Segoe UI"/>
            <w:color w:val="0F1115"/>
          </w:rPr>
          <w:t>中国人民大学出版社</w:t>
        </w:r>
      </w:hyperlink>
      <w:r w:rsidRPr="00942C19">
        <w:rPr>
          <w:rFonts w:cs="Segoe UI"/>
          <w:color w:val="0F1115"/>
        </w:rPr>
        <w:t>，2022年</w:t>
      </w:r>
    </w:p>
    <w:p w:rsidR="00DC0424" w:rsidRPr="00DC0424" w:rsidRDefault="00DC0424" w:rsidP="00DC0424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</w:p>
    <w:p w:rsidR="00DC0424" w:rsidRPr="00DC0424" w:rsidRDefault="00DC0424" w:rsidP="00DC0424">
      <w:pPr>
        <w:spacing w:beforeLines="50" w:before="156" w:afterLines="50" w:after="156" w:line="276" w:lineRule="auto"/>
        <w:rPr>
          <w:rFonts w:ascii="Times New Roman" w:eastAsia="宋体" w:hAnsi="Times New Roman" w:cs="Times New Roman" w:hint="eastAsia"/>
          <w:b/>
          <w:sz w:val="24"/>
          <w:szCs w:val="20"/>
        </w:rPr>
      </w:pPr>
    </w:p>
    <w:p w:rsidR="00942C19" w:rsidRPr="00942C19" w:rsidRDefault="00942C19">
      <w:pPr>
        <w:rPr>
          <w:rFonts w:ascii="宋体" w:eastAsia="宋体" w:hAnsi="宋体"/>
          <w:sz w:val="24"/>
          <w:szCs w:val="24"/>
        </w:rPr>
      </w:pPr>
    </w:p>
    <w:sectPr w:rsidR="00942C19" w:rsidRPr="00942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3B1" w:rsidRDefault="00F133B1" w:rsidP="00DC0424">
      <w:r>
        <w:separator/>
      </w:r>
    </w:p>
  </w:endnote>
  <w:endnote w:type="continuationSeparator" w:id="0">
    <w:p w:rsidR="00F133B1" w:rsidRDefault="00F133B1" w:rsidP="00DC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3B1" w:rsidRDefault="00F133B1" w:rsidP="00DC0424">
      <w:r>
        <w:separator/>
      </w:r>
    </w:p>
  </w:footnote>
  <w:footnote w:type="continuationSeparator" w:id="0">
    <w:p w:rsidR="00F133B1" w:rsidRDefault="00F133B1" w:rsidP="00DC0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EE0"/>
    <w:rsid w:val="00047244"/>
    <w:rsid w:val="0013103C"/>
    <w:rsid w:val="00562EE0"/>
    <w:rsid w:val="00942C19"/>
    <w:rsid w:val="00DC0424"/>
    <w:rsid w:val="00F1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168B0"/>
  <w15:chartTrackingRefBased/>
  <w15:docId w15:val="{DA465E5C-6351-4662-8CCA-2B90688C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62E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E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2E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562EE0"/>
  </w:style>
  <w:style w:type="character" w:styleId="a3">
    <w:name w:val="Hyperlink"/>
    <w:basedOn w:val="a0"/>
    <w:uiPriority w:val="99"/>
    <w:semiHidden/>
    <w:unhideWhenUsed/>
    <w:rsid w:val="00562EE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62E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562EE0"/>
    <w:rPr>
      <w:b/>
      <w:bCs/>
      <w:sz w:val="32"/>
      <w:szCs w:val="32"/>
    </w:rPr>
  </w:style>
  <w:style w:type="paragraph" w:customStyle="1" w:styleId="ds-markdown-paragraph">
    <w:name w:val="ds-markdown-paragraph"/>
    <w:basedOn w:val="a"/>
    <w:rsid w:val="00562E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C0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042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0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04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01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3=%D6%D0%B9%FA%C8%CB%C3%F1%B4%F3%D1%A7%B3%F6%B0%E6%C9%E7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DFE8-FDFB-4551-BC05-BB3525AA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mcaxj</dc:creator>
  <cp:keywords/>
  <dc:description/>
  <cp:lastModifiedBy>Admin</cp:lastModifiedBy>
  <cp:revision>2</cp:revision>
  <dcterms:created xsi:type="dcterms:W3CDTF">2026-06-25T01:36:00Z</dcterms:created>
  <dcterms:modified xsi:type="dcterms:W3CDTF">2026-06-25T01:36:00Z</dcterms:modified>
</cp:coreProperties>
</file>