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111BE" w14:textId="77777777" w:rsidR="00DF1225" w:rsidRDefault="00DF1225">
      <w:pPr>
        <w:rPr>
          <w:rFonts w:ascii="Times New Roman" w:eastAsia="仿宋" w:hAnsi="Times New Roman"/>
          <w:sz w:val="24"/>
          <w:szCs w:val="24"/>
        </w:rPr>
      </w:pPr>
    </w:p>
    <w:p w14:paraId="10E26232" w14:textId="77777777" w:rsidR="00DF1225" w:rsidRDefault="00000000">
      <w:pPr>
        <w:rPr>
          <w:rFonts w:ascii="Times New Roman" w:eastAsia="仿宋" w:hAnsi="Times New Roman"/>
          <w:sz w:val="24"/>
          <w:szCs w:val="24"/>
        </w:rPr>
      </w:pPr>
      <w:r>
        <w:rPr>
          <w:rFonts w:ascii="Times New Roman" w:eastAsia="仿宋" w:hAnsi="Times New Roman" w:hint="eastAsia"/>
          <w:sz w:val="24"/>
          <w:szCs w:val="24"/>
        </w:rPr>
        <w:t xml:space="preserve"> </w:t>
      </w:r>
    </w:p>
    <w:p w14:paraId="57DDC62B" w14:textId="77777777" w:rsidR="00DF1225" w:rsidRDefault="00000000">
      <w:pPr>
        <w:rPr>
          <w:rFonts w:ascii="Times New Roman" w:eastAsia="仿宋" w:hAnsi="Times New Roman"/>
          <w:sz w:val="24"/>
          <w:szCs w:val="24"/>
        </w:rPr>
      </w:pPr>
      <w:r>
        <w:rPr>
          <w:rFonts w:ascii="Times New Roman" w:eastAsia="仿宋" w:hAnsi="Times New Roman" w:hint="eastAsia"/>
          <w:sz w:val="24"/>
          <w:szCs w:val="24"/>
        </w:rPr>
        <w:t xml:space="preserve"> </w:t>
      </w:r>
    </w:p>
    <w:p w14:paraId="72084DB0" w14:textId="77777777" w:rsidR="00DF1225" w:rsidRDefault="00000000">
      <w:pPr>
        <w:rPr>
          <w:rFonts w:ascii="Times New Roman" w:eastAsia="仿宋" w:hAnsi="Times New Roman"/>
          <w:sz w:val="24"/>
          <w:szCs w:val="24"/>
        </w:rPr>
      </w:pPr>
      <w:r>
        <w:rPr>
          <w:rFonts w:ascii="Times New Roman" w:eastAsia="仿宋" w:hAnsi="Times New Roman" w:hint="eastAsia"/>
          <w:sz w:val="24"/>
          <w:szCs w:val="24"/>
        </w:rPr>
        <w:t xml:space="preserve"> </w:t>
      </w:r>
    </w:p>
    <w:p w14:paraId="4399529F" w14:textId="77777777" w:rsidR="00DF1225" w:rsidRDefault="00000000">
      <w:pPr>
        <w:jc w:val="center"/>
        <w:rPr>
          <w:rFonts w:ascii="Times New Roman" w:eastAsia="仿宋" w:hAnsi="Times New Roman"/>
          <w:b/>
          <w:sz w:val="52"/>
          <w:szCs w:val="52"/>
        </w:rPr>
      </w:pPr>
      <w:r>
        <w:rPr>
          <w:rFonts w:ascii="Times New Roman" w:eastAsia="仿宋" w:hAnsi="Times New Roman" w:hint="eastAsia"/>
          <w:b/>
          <w:sz w:val="52"/>
          <w:szCs w:val="52"/>
        </w:rPr>
        <w:t>迈向“双碳”研究系列报告</w:t>
      </w:r>
    </w:p>
    <w:p w14:paraId="6C037700" w14:textId="77777777" w:rsidR="00DF1225" w:rsidRDefault="00000000">
      <w:pPr>
        <w:rPr>
          <w:rFonts w:ascii="Times New Roman" w:eastAsia="仿宋" w:hAnsi="Times New Roman"/>
          <w:sz w:val="24"/>
          <w:szCs w:val="24"/>
        </w:rPr>
      </w:pPr>
      <w:r>
        <w:rPr>
          <w:rFonts w:ascii="Times New Roman" w:eastAsia="仿宋" w:hAnsi="Times New Roman" w:hint="eastAsia"/>
          <w:sz w:val="24"/>
          <w:szCs w:val="24"/>
        </w:rPr>
        <w:t xml:space="preserve"> </w:t>
      </w:r>
    </w:p>
    <w:p w14:paraId="5BF921A7" w14:textId="77777777" w:rsidR="00DF1225" w:rsidRDefault="00000000">
      <w:pPr>
        <w:rPr>
          <w:rFonts w:ascii="Times New Roman" w:eastAsia="仿宋" w:hAnsi="Times New Roman"/>
          <w:sz w:val="24"/>
          <w:szCs w:val="24"/>
        </w:rPr>
      </w:pPr>
      <w:r>
        <w:rPr>
          <w:rFonts w:ascii="Times New Roman" w:eastAsia="仿宋" w:hAnsi="Times New Roman" w:hint="eastAsia"/>
          <w:sz w:val="24"/>
          <w:szCs w:val="24"/>
        </w:rPr>
        <w:t xml:space="preserve"> </w:t>
      </w:r>
    </w:p>
    <w:p w14:paraId="7F8CD7CF" w14:textId="77777777" w:rsidR="00DF1225" w:rsidRDefault="00000000">
      <w:pPr>
        <w:rPr>
          <w:rFonts w:ascii="Times New Roman" w:eastAsia="仿宋" w:hAnsi="Times New Roman"/>
          <w:sz w:val="24"/>
          <w:szCs w:val="24"/>
        </w:rPr>
      </w:pPr>
      <w:r>
        <w:rPr>
          <w:rFonts w:ascii="Times New Roman" w:eastAsia="仿宋" w:hAnsi="Times New Roman" w:hint="eastAsia"/>
          <w:sz w:val="24"/>
          <w:szCs w:val="24"/>
        </w:rPr>
        <w:t xml:space="preserve"> </w:t>
      </w:r>
    </w:p>
    <w:p w14:paraId="23FEA6CE" w14:textId="57CE516B" w:rsidR="00DF1225" w:rsidRPr="00E27E7E" w:rsidRDefault="00F67BB5" w:rsidP="007D19AE">
      <w:pPr>
        <w:spacing w:line="360" w:lineRule="auto"/>
        <w:jc w:val="center"/>
        <w:rPr>
          <w:rFonts w:ascii="Times New Roman" w:eastAsia="仿宋" w:hAnsi="Times New Roman"/>
          <w:b/>
          <w:sz w:val="40"/>
          <w:szCs w:val="40"/>
        </w:rPr>
      </w:pPr>
      <w:r>
        <w:rPr>
          <w:rFonts w:ascii="Times New Roman" w:eastAsia="仿宋" w:hAnsi="Times New Roman" w:hint="eastAsia"/>
          <w:b/>
          <w:sz w:val="40"/>
          <w:szCs w:val="40"/>
        </w:rPr>
        <w:t>《</w:t>
      </w:r>
      <w:r w:rsidRPr="00E27E7E">
        <w:rPr>
          <w:rFonts w:ascii="Times New Roman" w:eastAsia="仿宋" w:hAnsi="Times New Roman" w:hint="eastAsia"/>
          <w:b/>
          <w:sz w:val="40"/>
          <w:szCs w:val="40"/>
        </w:rPr>
        <w:t>石油公司能源转型指数</w:t>
      </w:r>
      <w:r>
        <w:rPr>
          <w:rFonts w:ascii="Times New Roman" w:eastAsia="仿宋" w:hAnsi="Times New Roman" w:hint="eastAsia"/>
          <w:b/>
          <w:sz w:val="40"/>
          <w:szCs w:val="40"/>
        </w:rPr>
        <w:t>》</w:t>
      </w:r>
    </w:p>
    <w:p w14:paraId="67A43A90" w14:textId="5463829B" w:rsidR="00DF1225" w:rsidRPr="00E27E7E" w:rsidRDefault="007D19AE" w:rsidP="007D19AE">
      <w:pPr>
        <w:jc w:val="center"/>
        <w:rPr>
          <w:rFonts w:ascii="Times New Roman" w:eastAsia="仿宋" w:hAnsi="Times New Roman"/>
          <w:b/>
          <w:sz w:val="40"/>
          <w:szCs w:val="40"/>
        </w:rPr>
      </w:pPr>
      <w:r w:rsidRPr="00E27E7E">
        <w:rPr>
          <w:rFonts w:ascii="Times New Roman" w:eastAsia="仿宋" w:hAnsi="Times New Roman" w:hint="eastAsia"/>
          <w:b/>
          <w:sz w:val="40"/>
          <w:szCs w:val="40"/>
        </w:rPr>
        <w:t>（</w:t>
      </w:r>
      <w:r w:rsidRPr="00E27E7E">
        <w:rPr>
          <w:rFonts w:ascii="Times New Roman" w:eastAsia="仿宋" w:hAnsi="Times New Roman" w:hint="eastAsia"/>
          <w:b/>
          <w:sz w:val="40"/>
          <w:szCs w:val="40"/>
        </w:rPr>
        <w:t>I</w:t>
      </w:r>
      <w:r w:rsidRPr="00E27E7E">
        <w:rPr>
          <w:rFonts w:ascii="Times New Roman" w:eastAsia="仿宋" w:hAnsi="Times New Roman" w:hint="eastAsia"/>
          <w:b/>
          <w:sz w:val="40"/>
          <w:szCs w:val="40"/>
        </w:rPr>
        <w:t>系列</w:t>
      </w:r>
      <w:r w:rsidRPr="00E27E7E">
        <w:rPr>
          <w:rFonts w:ascii="Times New Roman" w:eastAsia="仿宋" w:hAnsi="Times New Roman" w:hint="eastAsia"/>
          <w:b/>
          <w:sz w:val="40"/>
          <w:szCs w:val="40"/>
        </w:rPr>
        <w:t>-2026I0</w:t>
      </w:r>
      <w:r w:rsidRPr="00E27E7E">
        <w:rPr>
          <w:rFonts w:ascii="Times New Roman" w:eastAsia="仿宋" w:hAnsi="Times New Roman" w:hint="eastAsia"/>
          <w:b/>
          <w:sz w:val="40"/>
          <w:szCs w:val="40"/>
        </w:rPr>
        <w:t>1</w:t>
      </w:r>
      <w:r w:rsidRPr="00E27E7E">
        <w:rPr>
          <w:rFonts w:ascii="Times New Roman" w:eastAsia="仿宋" w:hAnsi="Times New Roman" w:hint="eastAsia"/>
          <w:b/>
          <w:sz w:val="40"/>
          <w:szCs w:val="40"/>
        </w:rPr>
        <w:t>）</w:t>
      </w:r>
    </w:p>
    <w:p w14:paraId="22678938" w14:textId="77777777" w:rsidR="00DF1225" w:rsidRDefault="00000000">
      <w:pPr>
        <w:rPr>
          <w:rFonts w:ascii="Times New Roman" w:eastAsia="仿宋" w:hAnsi="Times New Roman"/>
          <w:sz w:val="24"/>
          <w:szCs w:val="24"/>
        </w:rPr>
      </w:pPr>
      <w:r>
        <w:rPr>
          <w:rFonts w:ascii="Times New Roman" w:eastAsia="仿宋" w:hAnsi="Times New Roman" w:hint="eastAsia"/>
          <w:sz w:val="24"/>
          <w:szCs w:val="24"/>
        </w:rPr>
        <w:t xml:space="preserve"> </w:t>
      </w:r>
    </w:p>
    <w:p w14:paraId="7907FA30" w14:textId="77777777" w:rsidR="00DF1225" w:rsidRDefault="00000000">
      <w:pPr>
        <w:rPr>
          <w:rFonts w:ascii="Times New Roman" w:eastAsia="仿宋" w:hAnsi="Times New Roman"/>
          <w:sz w:val="24"/>
          <w:szCs w:val="24"/>
        </w:rPr>
      </w:pPr>
      <w:r>
        <w:rPr>
          <w:rFonts w:ascii="Times New Roman" w:eastAsia="仿宋" w:hAnsi="Times New Roman" w:hint="eastAsia"/>
          <w:sz w:val="24"/>
          <w:szCs w:val="24"/>
        </w:rPr>
        <w:t xml:space="preserve"> </w:t>
      </w:r>
    </w:p>
    <w:p w14:paraId="42160344" w14:textId="77777777" w:rsidR="00DF1225" w:rsidRDefault="00000000">
      <w:pPr>
        <w:rPr>
          <w:rFonts w:ascii="Times New Roman" w:eastAsia="仿宋" w:hAnsi="Times New Roman"/>
          <w:sz w:val="24"/>
          <w:szCs w:val="24"/>
        </w:rPr>
      </w:pPr>
      <w:r>
        <w:rPr>
          <w:rFonts w:ascii="Times New Roman" w:eastAsia="仿宋" w:hAnsi="Times New Roman" w:hint="eastAsia"/>
          <w:sz w:val="24"/>
          <w:szCs w:val="24"/>
        </w:rPr>
        <w:t xml:space="preserve"> </w:t>
      </w:r>
    </w:p>
    <w:p w14:paraId="61881D0B" w14:textId="77777777" w:rsidR="00DF1225" w:rsidRDefault="00000000">
      <w:pPr>
        <w:rPr>
          <w:rFonts w:ascii="Times New Roman" w:eastAsia="仿宋" w:hAnsi="Times New Roman"/>
          <w:sz w:val="24"/>
          <w:szCs w:val="24"/>
        </w:rPr>
      </w:pPr>
      <w:r>
        <w:rPr>
          <w:rFonts w:ascii="Times New Roman" w:eastAsia="仿宋" w:hAnsi="Times New Roman" w:hint="eastAsia"/>
          <w:sz w:val="24"/>
          <w:szCs w:val="24"/>
        </w:rPr>
        <w:t xml:space="preserve"> </w:t>
      </w:r>
    </w:p>
    <w:p w14:paraId="3DCF2AEE" w14:textId="77777777" w:rsidR="00DF1225" w:rsidRDefault="00000000">
      <w:pPr>
        <w:rPr>
          <w:rFonts w:ascii="Times New Roman" w:eastAsia="仿宋" w:hAnsi="Times New Roman"/>
          <w:sz w:val="24"/>
          <w:szCs w:val="24"/>
        </w:rPr>
      </w:pPr>
      <w:r>
        <w:rPr>
          <w:rFonts w:ascii="Times New Roman" w:eastAsia="仿宋" w:hAnsi="Times New Roman" w:hint="eastAsia"/>
          <w:sz w:val="24"/>
          <w:szCs w:val="24"/>
        </w:rPr>
        <w:t xml:space="preserve"> </w:t>
      </w:r>
    </w:p>
    <w:p w14:paraId="4FAEB092" w14:textId="77777777" w:rsidR="00DF1225" w:rsidRDefault="00000000">
      <w:pPr>
        <w:rPr>
          <w:rFonts w:ascii="Times New Roman" w:eastAsia="仿宋" w:hAnsi="Times New Roman"/>
          <w:sz w:val="24"/>
          <w:szCs w:val="24"/>
        </w:rPr>
      </w:pPr>
      <w:r>
        <w:rPr>
          <w:rFonts w:ascii="Times New Roman" w:eastAsia="仿宋" w:hAnsi="Times New Roman" w:hint="eastAsia"/>
          <w:sz w:val="24"/>
          <w:szCs w:val="24"/>
        </w:rPr>
        <w:t xml:space="preserve"> </w:t>
      </w:r>
    </w:p>
    <w:p w14:paraId="7BB8AF25" w14:textId="77777777" w:rsidR="00DF1225" w:rsidRDefault="00000000">
      <w:pPr>
        <w:rPr>
          <w:rFonts w:ascii="Times New Roman" w:eastAsia="仿宋" w:hAnsi="Times New Roman"/>
          <w:sz w:val="24"/>
          <w:szCs w:val="24"/>
        </w:rPr>
      </w:pPr>
      <w:r>
        <w:rPr>
          <w:rFonts w:ascii="Times New Roman" w:eastAsia="仿宋" w:hAnsi="Times New Roman" w:hint="eastAsia"/>
          <w:sz w:val="24"/>
          <w:szCs w:val="24"/>
        </w:rPr>
        <w:t xml:space="preserve"> </w:t>
      </w:r>
    </w:p>
    <w:p w14:paraId="77242409" w14:textId="77777777" w:rsidR="00DF1225" w:rsidRDefault="00000000">
      <w:pPr>
        <w:rPr>
          <w:rFonts w:ascii="Times New Roman" w:eastAsia="仿宋" w:hAnsi="Times New Roman"/>
          <w:sz w:val="24"/>
          <w:szCs w:val="24"/>
        </w:rPr>
      </w:pPr>
      <w:r>
        <w:rPr>
          <w:rFonts w:ascii="Times New Roman" w:eastAsia="仿宋" w:hAnsi="Times New Roman" w:hint="eastAsia"/>
          <w:sz w:val="24"/>
          <w:szCs w:val="24"/>
        </w:rPr>
        <w:t xml:space="preserve"> </w:t>
      </w:r>
    </w:p>
    <w:p w14:paraId="40876861" w14:textId="77777777" w:rsidR="00DF1225" w:rsidRDefault="00000000">
      <w:pPr>
        <w:rPr>
          <w:rFonts w:ascii="Times New Roman" w:eastAsia="仿宋" w:hAnsi="Times New Roman"/>
          <w:sz w:val="24"/>
          <w:szCs w:val="24"/>
        </w:rPr>
      </w:pPr>
      <w:r>
        <w:rPr>
          <w:rFonts w:ascii="Times New Roman" w:eastAsia="仿宋" w:hAnsi="Times New Roman" w:hint="eastAsia"/>
          <w:sz w:val="24"/>
          <w:szCs w:val="24"/>
        </w:rPr>
        <w:t xml:space="preserve"> </w:t>
      </w:r>
    </w:p>
    <w:p w14:paraId="25BC1580" w14:textId="77777777" w:rsidR="00DF1225" w:rsidRDefault="00000000">
      <w:pPr>
        <w:rPr>
          <w:rFonts w:ascii="Times New Roman" w:eastAsia="仿宋" w:hAnsi="Times New Roman"/>
          <w:sz w:val="24"/>
          <w:szCs w:val="24"/>
        </w:rPr>
      </w:pPr>
      <w:r>
        <w:rPr>
          <w:rFonts w:ascii="Times New Roman" w:eastAsia="仿宋" w:hAnsi="Times New Roman" w:hint="eastAsia"/>
          <w:sz w:val="24"/>
          <w:szCs w:val="24"/>
        </w:rPr>
        <w:t xml:space="preserve"> </w:t>
      </w:r>
    </w:p>
    <w:p w14:paraId="3B91952F" w14:textId="77777777" w:rsidR="00DF1225" w:rsidRDefault="00000000">
      <w:pPr>
        <w:rPr>
          <w:rFonts w:ascii="Times New Roman" w:eastAsia="仿宋" w:hAnsi="Times New Roman"/>
          <w:sz w:val="24"/>
          <w:szCs w:val="24"/>
        </w:rPr>
      </w:pPr>
      <w:r>
        <w:rPr>
          <w:rFonts w:ascii="Times New Roman" w:eastAsia="仿宋" w:hAnsi="Times New Roman" w:hint="eastAsia"/>
          <w:sz w:val="24"/>
          <w:szCs w:val="24"/>
        </w:rPr>
        <w:t xml:space="preserve"> </w:t>
      </w:r>
    </w:p>
    <w:p w14:paraId="5B150311" w14:textId="77777777" w:rsidR="00DF1225" w:rsidRDefault="00000000">
      <w:pPr>
        <w:rPr>
          <w:rFonts w:ascii="Times New Roman" w:eastAsia="仿宋" w:hAnsi="Times New Roman"/>
          <w:sz w:val="24"/>
          <w:szCs w:val="24"/>
        </w:rPr>
      </w:pPr>
      <w:r>
        <w:rPr>
          <w:rFonts w:ascii="Times New Roman" w:eastAsia="仿宋" w:hAnsi="Times New Roman" w:hint="eastAsia"/>
          <w:sz w:val="24"/>
          <w:szCs w:val="24"/>
        </w:rPr>
        <w:t xml:space="preserve"> </w:t>
      </w:r>
    </w:p>
    <w:p w14:paraId="53803ACA" w14:textId="77777777" w:rsidR="007D19AE" w:rsidRPr="007D19AE" w:rsidRDefault="007D19AE" w:rsidP="007D19AE">
      <w:pPr>
        <w:jc w:val="center"/>
        <w:rPr>
          <w:rFonts w:ascii="Times New Roman" w:eastAsia="仿宋" w:hAnsi="Times New Roman" w:hint="eastAsia"/>
          <w:sz w:val="36"/>
          <w:szCs w:val="36"/>
        </w:rPr>
      </w:pPr>
      <w:r w:rsidRPr="007D19AE">
        <w:rPr>
          <w:rFonts w:ascii="Times New Roman" w:eastAsia="仿宋" w:hAnsi="Times New Roman" w:hint="eastAsia"/>
          <w:sz w:val="36"/>
          <w:szCs w:val="36"/>
        </w:rPr>
        <w:t>中国石油大学（北京）经济管理学院</w:t>
      </w:r>
    </w:p>
    <w:p w14:paraId="795C2E5F" w14:textId="77777777" w:rsidR="007D19AE" w:rsidRPr="007D19AE" w:rsidRDefault="007D19AE" w:rsidP="007D19AE">
      <w:pPr>
        <w:jc w:val="center"/>
        <w:rPr>
          <w:rFonts w:ascii="Times New Roman" w:eastAsia="仿宋" w:hAnsi="Times New Roman" w:hint="eastAsia"/>
          <w:sz w:val="36"/>
          <w:szCs w:val="36"/>
        </w:rPr>
      </w:pPr>
      <w:r w:rsidRPr="007D19AE">
        <w:rPr>
          <w:rFonts w:ascii="Times New Roman" w:eastAsia="仿宋" w:hAnsi="Times New Roman" w:hint="eastAsia"/>
          <w:sz w:val="36"/>
          <w:szCs w:val="36"/>
        </w:rPr>
        <w:t>碳中和与能源创新发展研究院</w:t>
      </w:r>
    </w:p>
    <w:p w14:paraId="50237898" w14:textId="606BEE4B" w:rsidR="00DF1225" w:rsidRDefault="007D19AE" w:rsidP="007D19AE">
      <w:pPr>
        <w:jc w:val="center"/>
        <w:rPr>
          <w:rFonts w:ascii="Times New Roman" w:eastAsia="仿宋" w:hAnsi="Times New Roman"/>
          <w:sz w:val="36"/>
          <w:szCs w:val="36"/>
        </w:rPr>
      </w:pPr>
      <w:r w:rsidRPr="007D19AE">
        <w:rPr>
          <w:rFonts w:ascii="Times New Roman" w:eastAsia="仿宋" w:hAnsi="Times New Roman" w:hint="eastAsia"/>
          <w:sz w:val="36"/>
          <w:szCs w:val="36"/>
        </w:rPr>
        <w:t>能源数据科学与智能决策实验室</w:t>
      </w:r>
    </w:p>
    <w:p w14:paraId="7BD63BC0" w14:textId="77777777" w:rsidR="00DF1225" w:rsidRDefault="00000000">
      <w:pPr>
        <w:rPr>
          <w:rFonts w:ascii="Times New Roman" w:eastAsia="仿宋" w:hAnsi="Times New Roman"/>
          <w:sz w:val="36"/>
          <w:szCs w:val="36"/>
        </w:rPr>
      </w:pPr>
      <w:r>
        <w:rPr>
          <w:rFonts w:ascii="Times New Roman" w:eastAsia="仿宋" w:hAnsi="Times New Roman" w:hint="eastAsia"/>
          <w:sz w:val="40"/>
          <w:szCs w:val="40"/>
        </w:rPr>
        <w:t xml:space="preserve"> </w:t>
      </w:r>
    </w:p>
    <w:p w14:paraId="64BF4177" w14:textId="77777777" w:rsidR="00DF1225" w:rsidRDefault="00000000">
      <w:pPr>
        <w:jc w:val="center"/>
        <w:rPr>
          <w:rFonts w:ascii="仿宋" w:eastAsia="仿宋" w:hAnsi="仿宋" w:hint="eastAsia"/>
          <w:sz w:val="36"/>
          <w:szCs w:val="36"/>
        </w:rPr>
      </w:pPr>
      <w:r>
        <w:rPr>
          <w:rFonts w:ascii="Times New Roman" w:eastAsia="仿宋" w:hAnsi="Times New Roman" w:hint="eastAsia"/>
          <w:sz w:val="36"/>
          <w:szCs w:val="36"/>
        </w:rPr>
        <w:t>2026</w:t>
      </w:r>
      <w:r>
        <w:rPr>
          <w:rFonts w:ascii="Times New Roman" w:eastAsia="仿宋" w:hAnsi="Times New Roman" w:hint="eastAsia"/>
          <w:sz w:val="36"/>
          <w:szCs w:val="36"/>
        </w:rPr>
        <w:t>年</w:t>
      </w:r>
      <w:r>
        <w:rPr>
          <w:rFonts w:ascii="Times New Roman" w:eastAsia="仿宋" w:hAnsi="Times New Roman" w:hint="eastAsia"/>
          <w:sz w:val="36"/>
          <w:szCs w:val="36"/>
        </w:rPr>
        <w:t xml:space="preserve"> 9</w:t>
      </w:r>
      <w:r>
        <w:rPr>
          <w:rFonts w:ascii="Times New Roman" w:eastAsia="仿宋" w:hAnsi="Times New Roman" w:hint="eastAsia"/>
          <w:sz w:val="36"/>
          <w:szCs w:val="36"/>
        </w:rPr>
        <w:t>月</w:t>
      </w:r>
      <w:r>
        <w:rPr>
          <w:rFonts w:ascii="Times New Roman" w:eastAsia="仿宋" w:hAnsi="Times New Roman" w:hint="eastAsia"/>
          <w:sz w:val="36"/>
          <w:szCs w:val="36"/>
        </w:rPr>
        <w:t>27</w:t>
      </w:r>
      <w:r>
        <w:rPr>
          <w:rFonts w:ascii="Times New Roman" w:eastAsia="仿宋" w:hAnsi="Times New Roman" w:hint="eastAsia"/>
          <w:sz w:val="36"/>
          <w:szCs w:val="36"/>
        </w:rPr>
        <w:t>日</w:t>
      </w:r>
    </w:p>
    <w:p w14:paraId="183F50DE" w14:textId="77777777" w:rsidR="00DF1225" w:rsidRDefault="00000000">
      <w:pPr>
        <w:jc w:val="center"/>
        <w:rPr>
          <w:rFonts w:ascii="Times New Roman" w:eastAsia="仿宋" w:hAnsi="Times New Roman"/>
          <w:b/>
          <w:sz w:val="40"/>
          <w:szCs w:val="40"/>
        </w:rPr>
      </w:pPr>
      <w:r>
        <w:rPr>
          <w:rFonts w:ascii="Times New Roman" w:eastAsia="仿宋" w:hAnsi="Times New Roman" w:hint="eastAsia"/>
          <w:b/>
          <w:sz w:val="40"/>
          <w:szCs w:val="40"/>
        </w:rPr>
        <w:br w:type="page"/>
      </w:r>
      <w:r>
        <w:rPr>
          <w:rFonts w:ascii="Times New Roman" w:eastAsia="仿宋" w:hAnsi="Times New Roman" w:hint="eastAsia"/>
          <w:b/>
          <w:sz w:val="40"/>
          <w:szCs w:val="40"/>
        </w:rPr>
        <w:lastRenderedPageBreak/>
        <w:t>石油公司能源转型指数</w:t>
      </w:r>
    </w:p>
    <w:p w14:paraId="500E17EF" w14:textId="77777777" w:rsidR="00DF1225" w:rsidRDefault="00000000">
      <w:pPr>
        <w:rPr>
          <w:rFonts w:ascii="Times New Roman" w:eastAsia="仿宋" w:hAnsi="Times New Roman"/>
          <w:b/>
          <w:sz w:val="40"/>
          <w:szCs w:val="40"/>
        </w:rPr>
      </w:pPr>
      <w:r>
        <w:rPr>
          <w:rFonts w:ascii="Times New Roman" w:eastAsia="仿宋" w:hAnsi="Times New Roman" w:hint="eastAsia"/>
          <w:b/>
          <w:sz w:val="40"/>
          <w:szCs w:val="40"/>
        </w:rPr>
        <w:t xml:space="preserve"> </w:t>
      </w:r>
    </w:p>
    <w:p w14:paraId="47B90A02" w14:textId="77777777" w:rsidR="00DF1225" w:rsidRDefault="00000000">
      <w:pPr>
        <w:jc w:val="center"/>
        <w:rPr>
          <w:rFonts w:ascii="Times New Roman" w:eastAsia="仿宋" w:hAnsi="Times New Roman"/>
          <w:b/>
          <w:sz w:val="28"/>
          <w:szCs w:val="28"/>
        </w:rPr>
      </w:pPr>
      <w:r>
        <w:rPr>
          <w:rFonts w:ascii="Times New Roman" w:eastAsia="仿宋" w:hAnsi="Times New Roman" w:hint="eastAsia"/>
          <w:b/>
          <w:sz w:val="28"/>
          <w:szCs w:val="28"/>
        </w:rPr>
        <w:t>核心摘要</w:t>
      </w:r>
    </w:p>
    <w:p w14:paraId="20C1D4EE"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在全球能源转型进入政策提速与企业战略分化并存的新阶段，石油公司既承受低碳转型压力，也面临能源安全、资本回报和传统业务发展的多重约束。为系统评估企业在转型认知、实践投入与实际绩效之间的一致性，本报告以</w:t>
      </w:r>
      <w:r>
        <w:rPr>
          <w:rFonts w:ascii="Times New Roman" w:eastAsia="仿宋" w:hAnsi="Times New Roman" w:hint="eastAsia"/>
          <w:sz w:val="28"/>
          <w:szCs w:val="28"/>
        </w:rPr>
        <w:t>2025</w:t>
      </w:r>
      <w:r>
        <w:rPr>
          <w:rFonts w:ascii="Times New Roman" w:eastAsia="仿宋" w:hAnsi="Times New Roman" w:hint="eastAsia"/>
          <w:sz w:val="28"/>
          <w:szCs w:val="28"/>
        </w:rPr>
        <w:t>年度数据为基础，构建涵盖“言”“行”“果”三个维度的综合评价体系，通过量化方法衡量了</w:t>
      </w:r>
      <w:r>
        <w:rPr>
          <w:rFonts w:ascii="Times New Roman" w:eastAsia="仿宋" w:hAnsi="Times New Roman" w:hint="eastAsia"/>
          <w:sz w:val="28"/>
          <w:szCs w:val="28"/>
        </w:rPr>
        <w:t>27</w:t>
      </w:r>
      <w:r>
        <w:rPr>
          <w:rFonts w:ascii="Times New Roman" w:eastAsia="仿宋" w:hAnsi="Times New Roman" w:hint="eastAsia"/>
          <w:sz w:val="28"/>
          <w:szCs w:val="28"/>
        </w:rPr>
        <w:t>家国际领先石油公司在公开声明中展现的转型态度，对外披露中展示的转型行动和本年度呈现的转型成效。</w:t>
      </w:r>
    </w:p>
    <w:p w14:paraId="2B9F53AF" w14:textId="3D4C55C5" w:rsidR="00DF1225" w:rsidRPr="001B2D69" w:rsidRDefault="00000000" w:rsidP="001B2D69">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综合评价结果显示，埃尼、日本帝国石油公司、道达尔能源公司、挪威国家石油公司和西方石油位居前五。领先企业普遍在低碳业务组织与运营减排之间形成了较强协同。三维画像进一步将样本企业划分为“务实见效型”“择路渐进型”“布局承压型”和“提效缓进型”：务实见效型将持续投入转化为较为稳定的减排成效；择路渐进型企业结合自身情况克制地采取转型行动并获得一定成效；布局承压型企业受传统业务与理念制约导致高水平的行动未能获得亮眼的成果；提效缓进型企业虽着力推进传统业务</w:t>
      </w:r>
      <w:proofErr w:type="gramStart"/>
      <w:r>
        <w:rPr>
          <w:rFonts w:ascii="Times New Roman" w:eastAsia="仿宋" w:hAnsi="Times New Roman" w:hint="eastAsia"/>
          <w:sz w:val="28"/>
          <w:szCs w:val="28"/>
        </w:rPr>
        <w:t>减排但在</w:t>
      </w:r>
      <w:proofErr w:type="gramEnd"/>
      <w:r>
        <w:rPr>
          <w:rFonts w:ascii="Times New Roman" w:eastAsia="仿宋" w:hAnsi="Times New Roman" w:hint="eastAsia"/>
          <w:sz w:val="28"/>
          <w:szCs w:val="28"/>
        </w:rPr>
        <w:t>系统性低碳布局行动上投入不足。总体来看，石油公司的低碳转型是一项涵盖战略认知、资源配置与绩效改善的系统工程，任何单一维度的突出都不足以代表整体领先，只有推动“言”“行”“果”协同提升，才能实现稳健而富有实效的转型。</w:t>
      </w:r>
    </w:p>
    <w:p w14:paraId="1A5A1FE4" w14:textId="77777777" w:rsidR="00DF1225" w:rsidRDefault="00000000">
      <w:pPr>
        <w:widowControl/>
        <w:spacing w:line="360" w:lineRule="auto"/>
        <w:outlineLvl w:val="0"/>
        <w:rPr>
          <w:rFonts w:ascii="Times New Roman" w:eastAsia="仿宋" w:hAnsi="Times New Roman"/>
          <w:b/>
          <w:bCs/>
          <w:sz w:val="28"/>
          <w:szCs w:val="28"/>
        </w:rPr>
      </w:pPr>
      <w:r>
        <w:rPr>
          <w:rFonts w:ascii="Times New Roman" w:eastAsia="仿宋" w:hAnsi="Times New Roman" w:hint="eastAsia"/>
          <w:b/>
          <w:bCs/>
          <w:sz w:val="28"/>
          <w:szCs w:val="28"/>
        </w:rPr>
        <w:lastRenderedPageBreak/>
        <w:t xml:space="preserve">1. </w:t>
      </w:r>
      <w:r>
        <w:rPr>
          <w:rFonts w:ascii="Times New Roman" w:eastAsia="仿宋" w:hAnsi="Times New Roman" w:hint="eastAsia"/>
          <w:b/>
          <w:bCs/>
          <w:sz w:val="28"/>
          <w:szCs w:val="28"/>
        </w:rPr>
        <w:t>研究背景</w:t>
      </w:r>
    </w:p>
    <w:p w14:paraId="0E8633F7"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2015</w:t>
      </w:r>
      <w:r>
        <w:rPr>
          <w:rFonts w:ascii="Times New Roman" w:eastAsia="仿宋" w:hAnsi="Times New Roman" w:hint="eastAsia"/>
          <w:sz w:val="28"/>
          <w:szCs w:val="28"/>
        </w:rPr>
        <w:t>年由</w:t>
      </w:r>
      <w:r>
        <w:rPr>
          <w:rFonts w:ascii="Times New Roman" w:eastAsia="仿宋" w:hAnsi="Times New Roman" w:hint="eastAsia"/>
          <w:sz w:val="28"/>
          <w:szCs w:val="28"/>
        </w:rPr>
        <w:t>178</w:t>
      </w:r>
      <w:r>
        <w:rPr>
          <w:rFonts w:ascii="Times New Roman" w:eastAsia="仿宋" w:hAnsi="Times New Roman" w:hint="eastAsia"/>
          <w:sz w:val="28"/>
          <w:szCs w:val="28"/>
        </w:rPr>
        <w:t>位缔约方共同签订的具有法律效应的《巴黎协定》明确提出长期目标：将全球平均气温较前工业化时期上升幅度控制在</w:t>
      </w:r>
      <w:r>
        <w:rPr>
          <w:rFonts w:ascii="Times New Roman" w:eastAsia="仿宋" w:hAnsi="Times New Roman" w:hint="eastAsia"/>
          <w:sz w:val="28"/>
          <w:szCs w:val="28"/>
        </w:rPr>
        <w:t>2</w:t>
      </w:r>
      <w:r>
        <w:rPr>
          <w:rFonts w:ascii="Times New Roman" w:eastAsia="仿宋" w:hAnsi="Times New Roman" w:hint="eastAsia"/>
          <w:sz w:val="28"/>
          <w:szCs w:val="28"/>
        </w:rPr>
        <w:t>摄氏度以内，并努力将温度上升幅度限制在</w:t>
      </w:r>
      <w:r>
        <w:rPr>
          <w:rFonts w:ascii="Times New Roman" w:eastAsia="仿宋" w:hAnsi="Times New Roman" w:hint="eastAsia"/>
          <w:sz w:val="28"/>
          <w:szCs w:val="28"/>
        </w:rPr>
        <w:t>1.5</w:t>
      </w:r>
      <w:r>
        <w:rPr>
          <w:rFonts w:ascii="Times New Roman" w:eastAsia="仿宋" w:hAnsi="Times New Roman" w:hint="eastAsia"/>
          <w:sz w:val="28"/>
          <w:szCs w:val="28"/>
        </w:rPr>
        <w:t>摄氏度以内。</w:t>
      </w:r>
      <w:r>
        <w:rPr>
          <w:rFonts w:ascii="Times New Roman" w:eastAsia="仿宋" w:hAnsi="Times New Roman" w:hint="eastAsia"/>
          <w:sz w:val="28"/>
          <w:szCs w:val="28"/>
        </w:rPr>
        <w:t>2023</w:t>
      </w:r>
      <w:r>
        <w:rPr>
          <w:rFonts w:ascii="Times New Roman" w:eastAsia="仿宋" w:hAnsi="Times New Roman" w:hint="eastAsia"/>
          <w:sz w:val="28"/>
          <w:szCs w:val="28"/>
        </w:rPr>
        <w:t>在《联合国气候变化框架公约》第二十八次缔约方大会首次达成有关化石能源退出的全球性共识，号召全球在能源系统中转型脱离化石能源，标志着全球能源转型进入加速阶段。在此背景下，油气行业作为传统高碳排放行业，面临着前所未有的转型压力与战略重塑挑战。</w:t>
      </w:r>
    </w:p>
    <w:p w14:paraId="4D843ECE"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国际上的大型石油公司正在加快从传统化石能源供应商向低碳能源供应商的转变，绝大多数已经在其年度报告或可持续发展报告中公布其减排目标及相关承诺，但对外展现出的转型表态、具体的减排行动和最终呈现的减排效果之间能否互相印证，成为了公众关心的又一重点。本报告具体从上述三个维度入手分析，判断国际各类石油公司面对气候压力所推进的低碳转型情况。</w:t>
      </w:r>
    </w:p>
    <w:p w14:paraId="656A47E4"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近年来，全球能源转型进入了“政策提速与企业回摆”的新阶段，进一步凸显了系统性地对石油公司转型进行评估的现实意义。</w:t>
      </w:r>
      <w:r>
        <w:rPr>
          <w:rFonts w:ascii="Times New Roman" w:eastAsia="仿宋" w:hAnsi="Times New Roman" w:hint="eastAsia"/>
          <w:sz w:val="28"/>
          <w:szCs w:val="28"/>
        </w:rPr>
        <w:t>2024</w:t>
      </w:r>
      <w:r>
        <w:rPr>
          <w:rFonts w:ascii="Times New Roman" w:eastAsia="仿宋" w:hAnsi="Times New Roman" w:hint="eastAsia"/>
          <w:sz w:val="28"/>
          <w:szCs w:val="28"/>
        </w:rPr>
        <w:t>年</w:t>
      </w:r>
      <w:r>
        <w:rPr>
          <w:rFonts w:ascii="Times New Roman" w:eastAsia="仿宋" w:hAnsi="Times New Roman" w:hint="eastAsia"/>
          <w:sz w:val="28"/>
          <w:szCs w:val="28"/>
        </w:rPr>
        <w:t>COP29</w:t>
      </w:r>
      <w:r>
        <w:rPr>
          <w:rFonts w:ascii="Times New Roman" w:eastAsia="仿宋" w:hAnsi="Times New Roman" w:hint="eastAsia"/>
          <w:sz w:val="28"/>
          <w:szCs w:val="28"/>
        </w:rPr>
        <w:t>就《巴黎协定》第六条下国际</w:t>
      </w:r>
      <w:proofErr w:type="gramStart"/>
      <w:r>
        <w:rPr>
          <w:rFonts w:ascii="Times New Roman" w:eastAsia="仿宋" w:hAnsi="Times New Roman" w:hint="eastAsia"/>
          <w:sz w:val="28"/>
          <w:szCs w:val="28"/>
        </w:rPr>
        <w:t>碳市场</w:t>
      </w:r>
      <w:proofErr w:type="gramEnd"/>
      <w:r>
        <w:rPr>
          <w:rFonts w:ascii="Times New Roman" w:eastAsia="仿宋" w:hAnsi="Times New Roman" w:hint="eastAsia"/>
          <w:sz w:val="28"/>
          <w:szCs w:val="28"/>
        </w:rPr>
        <w:t>机制达成一致，</w:t>
      </w:r>
      <w:r>
        <w:rPr>
          <w:rFonts w:ascii="Times New Roman" w:eastAsia="仿宋" w:hAnsi="Times New Roman" w:hint="eastAsia"/>
          <w:sz w:val="28"/>
          <w:szCs w:val="28"/>
        </w:rPr>
        <w:t>COP30</w:t>
      </w:r>
      <w:r>
        <w:rPr>
          <w:rFonts w:ascii="Times New Roman" w:eastAsia="仿宋" w:hAnsi="Times New Roman" w:hint="eastAsia"/>
          <w:sz w:val="28"/>
          <w:szCs w:val="28"/>
        </w:rPr>
        <w:t>持续推动化石能源</w:t>
      </w:r>
      <w:proofErr w:type="gramStart"/>
      <w:r>
        <w:rPr>
          <w:rFonts w:ascii="Times New Roman" w:eastAsia="仿宋" w:hAnsi="Times New Roman" w:hint="eastAsia"/>
          <w:sz w:val="28"/>
          <w:szCs w:val="28"/>
        </w:rPr>
        <w:t>退出共识</w:t>
      </w:r>
      <w:proofErr w:type="gramEnd"/>
      <w:r>
        <w:rPr>
          <w:rFonts w:ascii="Times New Roman" w:eastAsia="仿宋" w:hAnsi="Times New Roman" w:hint="eastAsia"/>
          <w:sz w:val="28"/>
          <w:szCs w:val="28"/>
        </w:rPr>
        <w:t>与新一轮国家自主贡献的加码，全球可再生能源装机和清洁能源投资屡创新高，碳边境调节、甲烷监管等专项规则也陆续生效，展现了政策</w:t>
      </w:r>
      <w:proofErr w:type="gramStart"/>
      <w:r>
        <w:rPr>
          <w:rFonts w:ascii="Times New Roman" w:eastAsia="仿宋" w:hAnsi="Times New Roman" w:hint="eastAsia"/>
          <w:sz w:val="28"/>
          <w:szCs w:val="28"/>
        </w:rPr>
        <w:t>侧不断</w:t>
      </w:r>
      <w:proofErr w:type="gramEnd"/>
      <w:r>
        <w:rPr>
          <w:rFonts w:ascii="Times New Roman" w:eastAsia="仿宋" w:hAnsi="Times New Roman" w:hint="eastAsia"/>
          <w:sz w:val="28"/>
          <w:szCs w:val="28"/>
        </w:rPr>
        <w:t>助力转型提速。反观企业端，部分石油公司的战略取向出现了明显的向传统油气业务调整的情况：英国石油公司（</w:t>
      </w:r>
      <w:r>
        <w:rPr>
          <w:rFonts w:ascii="Times New Roman" w:eastAsia="仿宋" w:hAnsi="Times New Roman" w:hint="eastAsia"/>
          <w:sz w:val="28"/>
          <w:szCs w:val="28"/>
        </w:rPr>
        <w:t>BP</w:t>
      </w:r>
      <w:r>
        <w:rPr>
          <w:rFonts w:ascii="Times New Roman" w:eastAsia="仿宋" w:hAnsi="Times New Roman" w:hint="eastAsia"/>
          <w:sz w:val="28"/>
          <w:szCs w:val="28"/>
        </w:rPr>
        <w:t>）宣布“重置”战略，将资本重新集中于油气产业</w:t>
      </w:r>
      <w:r>
        <w:rPr>
          <w:rFonts w:ascii="Times New Roman" w:eastAsia="仿宋" w:hAnsi="Times New Roman" w:hint="eastAsia"/>
          <w:sz w:val="28"/>
          <w:szCs w:val="28"/>
        </w:rPr>
        <w:lastRenderedPageBreak/>
        <w:t>并压缩低碳业务，壳牌下调</w:t>
      </w:r>
      <w:r>
        <w:rPr>
          <w:rFonts w:ascii="Times New Roman" w:eastAsia="仿宋" w:hAnsi="Times New Roman" w:hint="eastAsia"/>
          <w:sz w:val="28"/>
          <w:szCs w:val="28"/>
        </w:rPr>
        <w:t>2035</w:t>
      </w:r>
      <w:r>
        <w:rPr>
          <w:rFonts w:ascii="Times New Roman" w:eastAsia="仿宋" w:hAnsi="Times New Roman" w:hint="eastAsia"/>
          <w:sz w:val="28"/>
          <w:szCs w:val="28"/>
        </w:rPr>
        <w:t>减排目标，大力推进</w:t>
      </w:r>
      <w:r>
        <w:rPr>
          <w:rFonts w:ascii="Times New Roman" w:eastAsia="仿宋" w:hAnsi="Times New Roman" w:hint="eastAsia"/>
          <w:sz w:val="28"/>
          <w:szCs w:val="28"/>
        </w:rPr>
        <w:t>LNG</w:t>
      </w:r>
      <w:r>
        <w:rPr>
          <w:rFonts w:ascii="Times New Roman" w:eastAsia="仿宋" w:hAnsi="Times New Roman" w:hint="eastAsia"/>
          <w:sz w:val="28"/>
          <w:szCs w:val="28"/>
        </w:rPr>
        <w:t>业务并进一步强调资本回报，挪威国家石油公司削减可再生能源投资以强化油气现金流。石油公司公开的表态与实际投入和减</w:t>
      </w:r>
      <w:proofErr w:type="gramStart"/>
      <w:r>
        <w:rPr>
          <w:rFonts w:ascii="Times New Roman" w:eastAsia="仿宋" w:hAnsi="Times New Roman" w:hint="eastAsia"/>
          <w:sz w:val="28"/>
          <w:szCs w:val="28"/>
        </w:rPr>
        <w:t>排结果</w:t>
      </w:r>
      <w:proofErr w:type="gramEnd"/>
      <w:r>
        <w:rPr>
          <w:rFonts w:ascii="Times New Roman" w:eastAsia="仿宋" w:hAnsi="Times New Roman" w:hint="eastAsia"/>
          <w:sz w:val="28"/>
          <w:szCs w:val="28"/>
        </w:rPr>
        <w:t>之间的关系更为复杂，更难以单纯凭借其某一维度加一评判。将公司的公开表态、资源行动与</w:t>
      </w:r>
      <w:proofErr w:type="gramStart"/>
      <w:r>
        <w:rPr>
          <w:rFonts w:ascii="Times New Roman" w:eastAsia="仿宋" w:hAnsi="Times New Roman" w:hint="eastAsia"/>
          <w:sz w:val="28"/>
          <w:szCs w:val="28"/>
        </w:rPr>
        <w:t>运营成效</w:t>
      </w:r>
      <w:proofErr w:type="gramEnd"/>
      <w:r>
        <w:rPr>
          <w:rFonts w:ascii="Times New Roman" w:eastAsia="仿宋" w:hAnsi="Times New Roman" w:hint="eastAsia"/>
          <w:sz w:val="28"/>
          <w:szCs w:val="28"/>
        </w:rPr>
        <w:t>置于同一平台加以对照检验，是衡量其真实</w:t>
      </w:r>
      <w:proofErr w:type="gramStart"/>
      <w:r>
        <w:rPr>
          <w:rFonts w:ascii="Times New Roman" w:eastAsia="仿宋" w:hAnsi="Times New Roman" w:hint="eastAsia"/>
          <w:sz w:val="28"/>
          <w:szCs w:val="28"/>
        </w:rPr>
        <w:t>转型进程</w:t>
      </w:r>
      <w:proofErr w:type="gramEnd"/>
      <w:r>
        <w:rPr>
          <w:rFonts w:ascii="Times New Roman" w:eastAsia="仿宋" w:hAnsi="Times New Roman" w:hint="eastAsia"/>
          <w:sz w:val="28"/>
          <w:szCs w:val="28"/>
        </w:rPr>
        <w:t>的必要前提，也是本报告展开评价的现实出发点。</w:t>
      </w:r>
    </w:p>
    <w:p w14:paraId="3954D49D" w14:textId="77777777" w:rsidR="00DF1225" w:rsidRDefault="00000000">
      <w:pPr>
        <w:rPr>
          <w:rFonts w:ascii="Times New Roman" w:eastAsia="仿宋" w:hAnsi="Times New Roman"/>
          <w:sz w:val="28"/>
          <w:szCs w:val="24"/>
        </w:rPr>
      </w:pPr>
      <w:r>
        <w:rPr>
          <w:rFonts w:ascii="Times New Roman" w:eastAsia="仿宋" w:hAnsi="Times New Roman" w:hint="eastAsia"/>
          <w:sz w:val="28"/>
          <w:szCs w:val="24"/>
        </w:rPr>
        <w:br w:type="page"/>
      </w:r>
    </w:p>
    <w:p w14:paraId="066D5C43" w14:textId="77777777" w:rsidR="00DF1225" w:rsidRDefault="00000000">
      <w:pPr>
        <w:spacing w:line="360" w:lineRule="auto"/>
        <w:outlineLvl w:val="0"/>
        <w:rPr>
          <w:rFonts w:ascii="Times New Roman" w:eastAsia="仿宋" w:hAnsi="Times New Roman"/>
          <w:b/>
          <w:bCs/>
          <w:sz w:val="28"/>
          <w:szCs w:val="28"/>
        </w:rPr>
      </w:pPr>
      <w:r>
        <w:rPr>
          <w:rFonts w:ascii="Times New Roman" w:eastAsia="仿宋" w:hAnsi="Times New Roman" w:hint="eastAsia"/>
          <w:b/>
          <w:bCs/>
          <w:sz w:val="28"/>
          <w:szCs w:val="28"/>
        </w:rPr>
        <w:lastRenderedPageBreak/>
        <w:t xml:space="preserve">2. </w:t>
      </w:r>
      <w:r>
        <w:rPr>
          <w:rFonts w:ascii="Times New Roman" w:eastAsia="仿宋" w:hAnsi="Times New Roman" w:hint="eastAsia"/>
          <w:b/>
          <w:bCs/>
          <w:sz w:val="28"/>
          <w:szCs w:val="28"/>
        </w:rPr>
        <w:t>研究思路与方法</w:t>
      </w:r>
    </w:p>
    <w:p w14:paraId="2C7925EC" w14:textId="77777777" w:rsidR="00DF1225" w:rsidRDefault="00000000">
      <w:pPr>
        <w:spacing w:line="360" w:lineRule="auto"/>
        <w:outlineLvl w:val="1"/>
        <w:rPr>
          <w:rFonts w:ascii="Times New Roman" w:eastAsia="仿宋" w:hAnsi="Times New Roman"/>
          <w:b/>
          <w:bCs/>
          <w:sz w:val="28"/>
          <w:szCs w:val="28"/>
        </w:rPr>
      </w:pPr>
      <w:r>
        <w:rPr>
          <w:rFonts w:ascii="Times New Roman" w:eastAsia="仿宋" w:hAnsi="Times New Roman" w:hint="eastAsia"/>
          <w:b/>
          <w:bCs/>
          <w:sz w:val="28"/>
          <w:szCs w:val="28"/>
        </w:rPr>
        <w:t>2.1</w:t>
      </w:r>
      <w:r>
        <w:rPr>
          <w:rFonts w:ascii="Times New Roman" w:eastAsia="仿宋" w:hAnsi="Times New Roman" w:hint="eastAsia"/>
          <w:b/>
          <w:bCs/>
          <w:sz w:val="28"/>
          <w:szCs w:val="28"/>
        </w:rPr>
        <w:t>数据基础及来源</w:t>
      </w:r>
    </w:p>
    <w:p w14:paraId="16772CA9" w14:textId="34833A43" w:rsidR="00DF1225" w:rsidRDefault="00000000" w:rsidP="001B2D69">
      <w:pPr>
        <w:widowControl/>
        <w:tabs>
          <w:tab w:val="left" w:pos="377"/>
        </w:tabs>
        <w:spacing w:line="360" w:lineRule="auto"/>
        <w:ind w:firstLineChars="200" w:firstLine="560"/>
        <w:rPr>
          <w:rFonts w:ascii="Times New Roman" w:eastAsia="仿宋" w:hAnsi="Times New Roman"/>
          <w:color w:val="000000" w:themeColor="text1"/>
          <w:sz w:val="28"/>
          <w:szCs w:val="28"/>
        </w:rPr>
      </w:pPr>
      <w:r>
        <w:rPr>
          <w:rFonts w:ascii="Times New Roman" w:eastAsia="仿宋" w:hAnsi="Times New Roman" w:hint="eastAsia"/>
          <w:color w:val="000000" w:themeColor="text1"/>
          <w:sz w:val="28"/>
          <w:szCs w:val="28"/>
        </w:rPr>
        <w:t>本报告的目标是建立一套评价石油公司低碳转型的指标体系，如表</w:t>
      </w:r>
      <w:r>
        <w:rPr>
          <w:rFonts w:ascii="Times New Roman" w:eastAsia="仿宋" w:hAnsi="Times New Roman" w:hint="eastAsia"/>
          <w:color w:val="000000" w:themeColor="text1"/>
          <w:sz w:val="28"/>
          <w:szCs w:val="28"/>
        </w:rPr>
        <w:t>1</w:t>
      </w:r>
      <w:r>
        <w:rPr>
          <w:rFonts w:ascii="Times New Roman" w:eastAsia="仿宋" w:hAnsi="Times New Roman" w:hint="eastAsia"/>
          <w:color w:val="000000" w:themeColor="text1"/>
          <w:sz w:val="28"/>
          <w:szCs w:val="28"/>
        </w:rPr>
        <w:t>所示。利用上述的指标体系构建综合转型指数，来判断各石油公司低碳转型的承诺、进程和效果。在本报告中，低碳</w:t>
      </w:r>
      <w:proofErr w:type="gramStart"/>
      <w:r>
        <w:rPr>
          <w:rFonts w:ascii="Times New Roman" w:eastAsia="仿宋" w:hAnsi="Times New Roman" w:hint="eastAsia"/>
          <w:color w:val="000000" w:themeColor="text1"/>
          <w:sz w:val="28"/>
          <w:szCs w:val="28"/>
        </w:rPr>
        <w:t>转型指数</w:t>
      </w:r>
      <w:proofErr w:type="gramEnd"/>
      <w:r>
        <w:rPr>
          <w:rFonts w:ascii="Times New Roman" w:eastAsia="仿宋" w:hAnsi="Times New Roman" w:hint="eastAsia"/>
          <w:color w:val="000000" w:themeColor="text1"/>
          <w:sz w:val="28"/>
          <w:szCs w:val="28"/>
        </w:rPr>
        <w:t>越高，说明该公司的低碳转型力度越大、进程越快、效果越好。在指标体系的构建过程中，我们考虑以下三个维度，分别是石油公司在低碳转型中的言论或对外的宣示材料中所体现出来的对气候变化或低碳转型的态度（“言”）、针对自身转型目标所采用的措施（“行”）、各</w:t>
      </w:r>
      <w:proofErr w:type="gramStart"/>
      <w:r>
        <w:rPr>
          <w:rFonts w:ascii="Times New Roman" w:eastAsia="仿宋" w:hAnsi="Times New Roman" w:hint="eastAsia"/>
          <w:color w:val="000000" w:themeColor="text1"/>
          <w:sz w:val="28"/>
          <w:szCs w:val="28"/>
        </w:rPr>
        <w:t>类措施</w:t>
      </w:r>
      <w:proofErr w:type="gramEnd"/>
      <w:r>
        <w:rPr>
          <w:rFonts w:ascii="Times New Roman" w:eastAsia="仿宋" w:hAnsi="Times New Roman" w:hint="eastAsia"/>
          <w:color w:val="000000" w:themeColor="text1"/>
          <w:sz w:val="28"/>
          <w:szCs w:val="28"/>
        </w:rPr>
        <w:t>综合下实现的结果（“果”），使用量化方法分别对转型态度、行动和成效进行评分。最后对各公司指数结果进行整合，分析转型指数分布情况，如图</w:t>
      </w:r>
      <w:r>
        <w:rPr>
          <w:rFonts w:ascii="Times New Roman" w:eastAsia="仿宋" w:hAnsi="Times New Roman" w:hint="eastAsia"/>
          <w:color w:val="000000" w:themeColor="text1"/>
          <w:sz w:val="28"/>
          <w:szCs w:val="28"/>
        </w:rPr>
        <w:t>1</w:t>
      </w:r>
      <w:r>
        <w:rPr>
          <w:rFonts w:ascii="Times New Roman" w:eastAsia="仿宋" w:hAnsi="Times New Roman" w:hint="eastAsia"/>
          <w:color w:val="000000" w:themeColor="text1"/>
          <w:sz w:val="28"/>
          <w:szCs w:val="28"/>
        </w:rPr>
        <w:t>所示</w:t>
      </w:r>
      <w:r>
        <w:rPr>
          <w:rFonts w:ascii="Times New Roman" w:eastAsia="仿宋" w:hAnsi="Times New Roman" w:hint="eastAsia"/>
          <w:color w:val="000000" w:themeColor="text1"/>
          <w:sz w:val="28"/>
          <w:szCs w:val="28"/>
        </w:rPr>
        <w:t>:</w:t>
      </w:r>
    </w:p>
    <w:p w14:paraId="74F90A23" w14:textId="77777777" w:rsidR="00DF1225" w:rsidRDefault="00000000">
      <w:pPr>
        <w:widowControl/>
        <w:tabs>
          <w:tab w:val="left" w:pos="377"/>
        </w:tabs>
        <w:spacing w:afterLines="100" w:after="312" w:line="360" w:lineRule="auto"/>
        <w:jc w:val="center"/>
        <w:rPr>
          <w:rFonts w:ascii="Times New Roman" w:eastAsia="仿宋" w:hAnsi="Times New Roman"/>
          <w:b/>
          <w:bCs/>
          <w:kern w:val="0"/>
          <w:sz w:val="24"/>
          <w:szCs w:val="24"/>
        </w:rPr>
      </w:pPr>
      <w:r>
        <w:rPr>
          <w:rFonts w:ascii="Times New Roman" w:eastAsia="仿宋" w:hAnsi="Times New Roman" w:hint="eastAsia"/>
          <w:b/>
          <w:bCs/>
          <w:sz w:val="24"/>
          <w:szCs w:val="24"/>
        </w:rPr>
        <w:t>表</w:t>
      </w:r>
      <w:r>
        <w:rPr>
          <w:rFonts w:ascii="Times New Roman" w:eastAsia="仿宋" w:hAnsi="Times New Roman" w:hint="eastAsia"/>
          <w:b/>
          <w:bCs/>
          <w:sz w:val="24"/>
          <w:szCs w:val="24"/>
        </w:rPr>
        <w:t xml:space="preserve">1   </w:t>
      </w:r>
      <w:r>
        <w:rPr>
          <w:rFonts w:ascii="Times New Roman" w:eastAsia="仿宋" w:hAnsi="Times New Roman" w:hint="eastAsia"/>
          <w:b/>
          <w:bCs/>
          <w:sz w:val="24"/>
          <w:szCs w:val="24"/>
        </w:rPr>
        <w:t>石油公司低碳转型指标体系</w:t>
      </w:r>
    </w:p>
    <w:tbl>
      <w:tblPr>
        <w:tblW w:w="5000" w:type="pct"/>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458"/>
        <w:gridCol w:w="2469"/>
        <w:gridCol w:w="3595"/>
      </w:tblGrid>
      <w:tr w:rsidR="00DF1225" w14:paraId="745F6470" w14:textId="77777777">
        <w:trPr>
          <w:trHeight w:val="724"/>
          <w:jc w:val="center"/>
        </w:trPr>
        <w:tc>
          <w:tcPr>
            <w:tcW w:w="1442" w:type="pct"/>
            <w:noWrap/>
            <w:vAlign w:val="center"/>
          </w:tcPr>
          <w:p w14:paraId="1106CA24" w14:textId="77777777" w:rsidR="00DF1225" w:rsidRDefault="00000000">
            <w:pPr>
              <w:widowControl/>
              <w:jc w:val="center"/>
              <w:rPr>
                <w:rFonts w:ascii="Times New Roman" w:eastAsia="仿宋" w:hAnsi="Times New Roman" w:cs="宋体"/>
                <w:b/>
                <w:bCs/>
                <w:color w:val="000000"/>
                <w:kern w:val="0"/>
                <w:sz w:val="24"/>
                <w:szCs w:val="24"/>
              </w:rPr>
            </w:pPr>
            <w:r>
              <w:rPr>
                <w:rFonts w:ascii="Times New Roman" w:eastAsia="仿宋" w:hAnsi="Times New Roman" w:hint="eastAsia"/>
                <w:b/>
                <w:bCs/>
                <w:color w:val="000000"/>
                <w:kern w:val="0"/>
                <w:sz w:val="24"/>
                <w:szCs w:val="24"/>
              </w:rPr>
              <w:t>一级指标</w:t>
            </w:r>
          </w:p>
        </w:tc>
        <w:tc>
          <w:tcPr>
            <w:tcW w:w="1448" w:type="pct"/>
            <w:noWrap/>
            <w:vAlign w:val="center"/>
          </w:tcPr>
          <w:p w14:paraId="4C85906F" w14:textId="77777777" w:rsidR="00DF1225" w:rsidRDefault="00000000">
            <w:pPr>
              <w:widowControl/>
              <w:jc w:val="center"/>
              <w:rPr>
                <w:rFonts w:ascii="Times New Roman" w:eastAsia="仿宋" w:hAnsi="Times New Roman" w:cs="宋体"/>
                <w:b/>
                <w:bCs/>
                <w:color w:val="000000"/>
                <w:kern w:val="0"/>
                <w:sz w:val="24"/>
                <w:szCs w:val="24"/>
              </w:rPr>
            </w:pPr>
            <w:r>
              <w:rPr>
                <w:rFonts w:ascii="Times New Roman" w:eastAsia="仿宋" w:hAnsi="Times New Roman" w:hint="eastAsia"/>
                <w:b/>
                <w:bCs/>
                <w:color w:val="000000"/>
                <w:kern w:val="0"/>
                <w:sz w:val="24"/>
                <w:szCs w:val="24"/>
              </w:rPr>
              <w:t>二级指标</w:t>
            </w:r>
          </w:p>
        </w:tc>
        <w:tc>
          <w:tcPr>
            <w:tcW w:w="2108" w:type="pct"/>
            <w:noWrap/>
            <w:vAlign w:val="center"/>
          </w:tcPr>
          <w:p w14:paraId="3B02C57F" w14:textId="77777777" w:rsidR="00DF1225" w:rsidRDefault="00000000">
            <w:pPr>
              <w:widowControl/>
              <w:jc w:val="center"/>
              <w:rPr>
                <w:rFonts w:ascii="Times New Roman" w:eastAsia="仿宋" w:hAnsi="Times New Roman" w:cs="宋体"/>
                <w:b/>
                <w:bCs/>
                <w:color w:val="000000"/>
                <w:kern w:val="0"/>
                <w:sz w:val="24"/>
                <w:szCs w:val="24"/>
              </w:rPr>
            </w:pPr>
            <w:r>
              <w:rPr>
                <w:rFonts w:ascii="Times New Roman" w:eastAsia="仿宋" w:hAnsi="Times New Roman" w:hint="eastAsia"/>
                <w:b/>
                <w:bCs/>
                <w:color w:val="000000"/>
                <w:kern w:val="0"/>
                <w:sz w:val="24"/>
                <w:szCs w:val="24"/>
              </w:rPr>
              <w:t>三级指标</w:t>
            </w:r>
          </w:p>
        </w:tc>
      </w:tr>
      <w:tr w:rsidR="00DF1225" w14:paraId="74964A99" w14:textId="77777777">
        <w:trPr>
          <w:trHeight w:val="530"/>
          <w:jc w:val="center"/>
        </w:trPr>
        <w:tc>
          <w:tcPr>
            <w:tcW w:w="1442" w:type="pct"/>
            <w:vMerge w:val="restart"/>
            <w:vAlign w:val="center"/>
          </w:tcPr>
          <w:p w14:paraId="0A9D0B96"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石油公司能源</w:t>
            </w:r>
          </w:p>
          <w:p w14:paraId="45D22660" w14:textId="77777777" w:rsidR="00DF1225" w:rsidRDefault="00000000">
            <w:pPr>
              <w:widowControl/>
              <w:jc w:val="center"/>
              <w:rPr>
                <w:rFonts w:ascii="Times New Roman" w:eastAsia="仿宋" w:hAnsi="Times New Roman" w:cs="宋体"/>
                <w:color w:val="000000"/>
                <w:kern w:val="0"/>
                <w:sz w:val="22"/>
              </w:rPr>
            </w:pPr>
            <w:proofErr w:type="gramStart"/>
            <w:r>
              <w:rPr>
                <w:rFonts w:ascii="Times New Roman" w:eastAsia="仿宋" w:hAnsi="Times New Roman" w:hint="eastAsia"/>
                <w:color w:val="000000"/>
                <w:kern w:val="0"/>
                <w:sz w:val="24"/>
                <w:szCs w:val="24"/>
              </w:rPr>
              <w:t>转型指数</w:t>
            </w:r>
            <w:proofErr w:type="gramEnd"/>
          </w:p>
        </w:tc>
        <w:tc>
          <w:tcPr>
            <w:tcW w:w="1448" w:type="pct"/>
            <w:vMerge w:val="restart"/>
            <w:noWrap/>
            <w:vAlign w:val="center"/>
          </w:tcPr>
          <w:p w14:paraId="2A170326"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转型态度评分</w:t>
            </w:r>
          </w:p>
        </w:tc>
        <w:tc>
          <w:tcPr>
            <w:tcW w:w="2108" w:type="pct"/>
            <w:noWrap/>
            <w:vAlign w:val="center"/>
          </w:tcPr>
          <w:p w14:paraId="4FE08D37"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新闻稿</w:t>
            </w:r>
          </w:p>
        </w:tc>
      </w:tr>
      <w:tr w:rsidR="00DF1225" w14:paraId="44F15E8F" w14:textId="77777777">
        <w:trPr>
          <w:trHeight w:val="560"/>
          <w:jc w:val="center"/>
        </w:trPr>
        <w:tc>
          <w:tcPr>
            <w:tcW w:w="1442" w:type="pct"/>
            <w:vMerge/>
            <w:vAlign w:val="center"/>
          </w:tcPr>
          <w:p w14:paraId="44B8C4B2" w14:textId="77777777" w:rsidR="00DF1225" w:rsidRDefault="00DF1225">
            <w:pPr>
              <w:widowControl/>
              <w:jc w:val="left"/>
              <w:rPr>
                <w:rFonts w:ascii="Times New Roman" w:eastAsia="仿宋" w:hAnsi="Times New Roman" w:cs="宋体"/>
                <w:color w:val="000000"/>
                <w:kern w:val="0"/>
                <w:sz w:val="22"/>
              </w:rPr>
            </w:pPr>
          </w:p>
        </w:tc>
        <w:tc>
          <w:tcPr>
            <w:tcW w:w="1448" w:type="pct"/>
            <w:vMerge/>
            <w:vAlign w:val="center"/>
          </w:tcPr>
          <w:p w14:paraId="7F5EB6E7" w14:textId="77777777" w:rsidR="00DF1225" w:rsidRDefault="00DF1225">
            <w:pPr>
              <w:widowControl/>
              <w:jc w:val="left"/>
              <w:rPr>
                <w:rFonts w:ascii="Times New Roman" w:eastAsia="仿宋" w:hAnsi="Times New Roman" w:cs="宋体"/>
                <w:color w:val="000000"/>
                <w:kern w:val="0"/>
                <w:sz w:val="22"/>
              </w:rPr>
            </w:pPr>
          </w:p>
        </w:tc>
        <w:tc>
          <w:tcPr>
            <w:tcW w:w="2108" w:type="pct"/>
            <w:noWrap/>
            <w:vAlign w:val="center"/>
          </w:tcPr>
          <w:p w14:paraId="6F9BBEBD"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年报</w:t>
            </w:r>
          </w:p>
        </w:tc>
      </w:tr>
      <w:tr w:rsidR="00DF1225" w14:paraId="4150C61D" w14:textId="77777777">
        <w:trPr>
          <w:trHeight w:val="586"/>
          <w:jc w:val="center"/>
        </w:trPr>
        <w:tc>
          <w:tcPr>
            <w:tcW w:w="1442" w:type="pct"/>
            <w:vMerge/>
            <w:vAlign w:val="center"/>
          </w:tcPr>
          <w:p w14:paraId="7AC55E33" w14:textId="77777777" w:rsidR="00DF1225" w:rsidRDefault="00DF1225">
            <w:pPr>
              <w:widowControl/>
              <w:jc w:val="left"/>
              <w:rPr>
                <w:rFonts w:ascii="Times New Roman" w:eastAsia="仿宋" w:hAnsi="Times New Roman" w:cs="宋体"/>
                <w:color w:val="000000"/>
                <w:kern w:val="0"/>
                <w:sz w:val="22"/>
              </w:rPr>
            </w:pPr>
          </w:p>
        </w:tc>
        <w:tc>
          <w:tcPr>
            <w:tcW w:w="1448" w:type="pct"/>
            <w:vMerge/>
            <w:vAlign w:val="center"/>
          </w:tcPr>
          <w:p w14:paraId="00BBCAF5" w14:textId="77777777" w:rsidR="00DF1225" w:rsidRDefault="00DF1225">
            <w:pPr>
              <w:widowControl/>
              <w:jc w:val="left"/>
              <w:rPr>
                <w:rFonts w:ascii="Times New Roman" w:eastAsia="仿宋" w:hAnsi="Times New Roman" w:cs="宋体"/>
                <w:color w:val="000000"/>
                <w:kern w:val="0"/>
                <w:sz w:val="22"/>
              </w:rPr>
            </w:pPr>
          </w:p>
        </w:tc>
        <w:tc>
          <w:tcPr>
            <w:tcW w:w="2108" w:type="pct"/>
            <w:noWrap/>
            <w:vAlign w:val="center"/>
          </w:tcPr>
          <w:p w14:paraId="3F65D95E"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可持续发展报告</w:t>
            </w:r>
          </w:p>
        </w:tc>
      </w:tr>
      <w:tr w:rsidR="00DF1225" w14:paraId="24AF79CF" w14:textId="77777777">
        <w:trPr>
          <w:trHeight w:val="592"/>
          <w:jc w:val="center"/>
        </w:trPr>
        <w:tc>
          <w:tcPr>
            <w:tcW w:w="1442" w:type="pct"/>
            <w:vMerge/>
            <w:vAlign w:val="center"/>
          </w:tcPr>
          <w:p w14:paraId="52CD191B" w14:textId="77777777" w:rsidR="00DF1225" w:rsidRDefault="00DF1225">
            <w:pPr>
              <w:widowControl/>
              <w:jc w:val="left"/>
              <w:rPr>
                <w:rFonts w:ascii="Times New Roman" w:eastAsia="仿宋" w:hAnsi="Times New Roman" w:cs="宋体"/>
                <w:color w:val="000000"/>
                <w:kern w:val="0"/>
                <w:sz w:val="22"/>
              </w:rPr>
            </w:pPr>
          </w:p>
        </w:tc>
        <w:tc>
          <w:tcPr>
            <w:tcW w:w="1448" w:type="pct"/>
            <w:vMerge w:val="restart"/>
            <w:vAlign w:val="center"/>
          </w:tcPr>
          <w:p w14:paraId="21490118" w14:textId="77777777" w:rsidR="00DF1225" w:rsidRDefault="00000000">
            <w:pPr>
              <w:widowControl/>
              <w:jc w:val="center"/>
              <w:rPr>
                <w:rFonts w:ascii="Times New Roman" w:eastAsia="仿宋" w:hAnsi="Times New Roman" w:cs="宋体"/>
                <w:color w:val="000000"/>
                <w:kern w:val="0"/>
                <w:sz w:val="22"/>
              </w:rPr>
            </w:pPr>
            <w:r>
              <w:rPr>
                <w:rFonts w:ascii="Times New Roman" w:eastAsia="仿宋" w:hAnsi="Times New Roman" w:hint="eastAsia"/>
                <w:color w:val="000000"/>
                <w:kern w:val="0"/>
                <w:sz w:val="24"/>
                <w:szCs w:val="24"/>
              </w:rPr>
              <w:t>转型行动评分</w:t>
            </w:r>
          </w:p>
        </w:tc>
        <w:tc>
          <w:tcPr>
            <w:tcW w:w="2108" w:type="pct"/>
            <w:noWrap/>
            <w:vAlign w:val="center"/>
          </w:tcPr>
          <w:p w14:paraId="08BBB8DC"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参与行业协会数量</w:t>
            </w:r>
          </w:p>
        </w:tc>
      </w:tr>
      <w:tr w:rsidR="00DF1225" w14:paraId="10D3CF9D" w14:textId="77777777">
        <w:trPr>
          <w:trHeight w:val="554"/>
          <w:jc w:val="center"/>
        </w:trPr>
        <w:tc>
          <w:tcPr>
            <w:tcW w:w="1442" w:type="pct"/>
            <w:vMerge/>
            <w:vAlign w:val="center"/>
          </w:tcPr>
          <w:p w14:paraId="7AE0C247" w14:textId="77777777" w:rsidR="00DF1225" w:rsidRDefault="00DF1225">
            <w:pPr>
              <w:widowControl/>
              <w:jc w:val="left"/>
              <w:rPr>
                <w:rFonts w:ascii="Times New Roman" w:eastAsia="仿宋" w:hAnsi="Times New Roman" w:cs="宋体"/>
                <w:color w:val="000000"/>
                <w:kern w:val="0"/>
                <w:sz w:val="22"/>
              </w:rPr>
            </w:pPr>
          </w:p>
        </w:tc>
        <w:tc>
          <w:tcPr>
            <w:tcW w:w="1448" w:type="pct"/>
            <w:vMerge/>
            <w:vAlign w:val="center"/>
          </w:tcPr>
          <w:p w14:paraId="1B8A13F5" w14:textId="77777777" w:rsidR="00DF1225" w:rsidRDefault="00DF1225">
            <w:pPr>
              <w:widowControl/>
              <w:jc w:val="left"/>
              <w:rPr>
                <w:rFonts w:ascii="Times New Roman" w:eastAsia="仿宋" w:hAnsi="Times New Roman" w:cs="宋体"/>
                <w:color w:val="000000"/>
                <w:kern w:val="0"/>
                <w:sz w:val="22"/>
              </w:rPr>
            </w:pPr>
          </w:p>
        </w:tc>
        <w:tc>
          <w:tcPr>
            <w:tcW w:w="2108" w:type="pct"/>
            <w:noWrap/>
            <w:vAlign w:val="center"/>
          </w:tcPr>
          <w:p w14:paraId="1B2C62B7"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低碳目标设定情况</w:t>
            </w:r>
          </w:p>
        </w:tc>
      </w:tr>
      <w:tr w:rsidR="00DF1225" w14:paraId="39B3D45C" w14:textId="77777777">
        <w:trPr>
          <w:trHeight w:val="569"/>
          <w:jc w:val="center"/>
        </w:trPr>
        <w:tc>
          <w:tcPr>
            <w:tcW w:w="1442" w:type="pct"/>
            <w:vMerge/>
            <w:vAlign w:val="center"/>
          </w:tcPr>
          <w:p w14:paraId="28D0784D" w14:textId="77777777" w:rsidR="00DF1225" w:rsidRDefault="00DF1225">
            <w:pPr>
              <w:widowControl/>
              <w:jc w:val="left"/>
              <w:rPr>
                <w:rFonts w:ascii="Times New Roman" w:eastAsia="仿宋" w:hAnsi="Times New Roman" w:cs="宋体"/>
                <w:color w:val="000000"/>
                <w:kern w:val="0"/>
                <w:sz w:val="22"/>
              </w:rPr>
            </w:pPr>
          </w:p>
        </w:tc>
        <w:tc>
          <w:tcPr>
            <w:tcW w:w="1448" w:type="pct"/>
            <w:vMerge/>
            <w:vAlign w:val="center"/>
          </w:tcPr>
          <w:p w14:paraId="60A3F9A3" w14:textId="77777777" w:rsidR="00DF1225" w:rsidRDefault="00DF1225">
            <w:pPr>
              <w:widowControl/>
              <w:jc w:val="left"/>
              <w:rPr>
                <w:rFonts w:ascii="Times New Roman" w:eastAsia="仿宋" w:hAnsi="Times New Roman" w:cs="宋体"/>
                <w:color w:val="000000"/>
                <w:kern w:val="0"/>
                <w:sz w:val="22"/>
              </w:rPr>
            </w:pPr>
          </w:p>
        </w:tc>
        <w:tc>
          <w:tcPr>
            <w:tcW w:w="2108" w:type="pct"/>
            <w:noWrap/>
            <w:vAlign w:val="center"/>
          </w:tcPr>
          <w:p w14:paraId="0DACCFFD"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低碳投资比例</w:t>
            </w:r>
          </w:p>
        </w:tc>
      </w:tr>
      <w:tr w:rsidR="00DF1225" w14:paraId="7A25DB13" w14:textId="77777777">
        <w:trPr>
          <w:trHeight w:val="577"/>
          <w:jc w:val="center"/>
        </w:trPr>
        <w:tc>
          <w:tcPr>
            <w:tcW w:w="1442" w:type="pct"/>
            <w:vMerge/>
            <w:vAlign w:val="center"/>
          </w:tcPr>
          <w:p w14:paraId="42E690C8" w14:textId="77777777" w:rsidR="00DF1225" w:rsidRDefault="00DF1225">
            <w:pPr>
              <w:widowControl/>
              <w:jc w:val="left"/>
              <w:rPr>
                <w:rFonts w:ascii="Times New Roman" w:eastAsia="仿宋" w:hAnsi="Times New Roman" w:cs="宋体"/>
                <w:color w:val="000000"/>
                <w:kern w:val="0"/>
                <w:sz w:val="22"/>
              </w:rPr>
            </w:pPr>
          </w:p>
        </w:tc>
        <w:tc>
          <w:tcPr>
            <w:tcW w:w="1448" w:type="pct"/>
            <w:vMerge w:val="restart"/>
            <w:noWrap/>
            <w:vAlign w:val="center"/>
          </w:tcPr>
          <w:p w14:paraId="224D2DD0" w14:textId="77777777" w:rsidR="00DF1225" w:rsidRDefault="00000000">
            <w:pPr>
              <w:widowControl/>
              <w:jc w:val="center"/>
              <w:rPr>
                <w:rFonts w:ascii="Times New Roman" w:eastAsia="仿宋" w:hAnsi="Times New Roman" w:cs="宋体"/>
                <w:color w:val="000000"/>
                <w:kern w:val="0"/>
                <w:sz w:val="24"/>
                <w:szCs w:val="24"/>
              </w:rPr>
            </w:pPr>
            <w:proofErr w:type="gramStart"/>
            <w:r>
              <w:rPr>
                <w:rFonts w:ascii="Times New Roman" w:eastAsia="仿宋" w:hAnsi="Times New Roman" w:hint="eastAsia"/>
                <w:color w:val="000000"/>
                <w:kern w:val="0"/>
                <w:sz w:val="24"/>
                <w:szCs w:val="24"/>
              </w:rPr>
              <w:t>转型成效</w:t>
            </w:r>
            <w:proofErr w:type="gramEnd"/>
            <w:r>
              <w:rPr>
                <w:rFonts w:ascii="Times New Roman" w:eastAsia="仿宋" w:hAnsi="Times New Roman" w:hint="eastAsia"/>
                <w:color w:val="000000"/>
                <w:kern w:val="0"/>
                <w:sz w:val="24"/>
                <w:szCs w:val="24"/>
              </w:rPr>
              <w:t>评分</w:t>
            </w:r>
          </w:p>
        </w:tc>
        <w:tc>
          <w:tcPr>
            <w:tcW w:w="2108" w:type="pct"/>
            <w:noWrap/>
            <w:vAlign w:val="center"/>
          </w:tcPr>
          <w:p w14:paraId="05E34049" w14:textId="77777777" w:rsidR="00DF1225" w:rsidRDefault="00000000">
            <w:pPr>
              <w:widowControl/>
              <w:jc w:val="center"/>
              <w:rPr>
                <w:rFonts w:ascii="Times New Roman" w:eastAsia="仿宋" w:hAnsi="Times New Roman" w:cs="宋体"/>
                <w:color w:val="000000"/>
                <w:kern w:val="0"/>
                <w:sz w:val="24"/>
                <w:szCs w:val="24"/>
              </w:rPr>
            </w:pPr>
            <w:proofErr w:type="gramStart"/>
            <w:r>
              <w:rPr>
                <w:rFonts w:ascii="Times New Roman" w:eastAsia="仿宋" w:hAnsi="Times New Roman" w:hint="eastAsia"/>
                <w:color w:val="000000"/>
                <w:kern w:val="0"/>
                <w:sz w:val="24"/>
                <w:szCs w:val="24"/>
              </w:rPr>
              <w:t>年碳强度</w:t>
            </w:r>
            <w:proofErr w:type="gramEnd"/>
          </w:p>
        </w:tc>
      </w:tr>
      <w:tr w:rsidR="00DF1225" w14:paraId="58E157DC" w14:textId="77777777">
        <w:trPr>
          <w:trHeight w:val="577"/>
          <w:jc w:val="center"/>
        </w:trPr>
        <w:tc>
          <w:tcPr>
            <w:tcW w:w="1442" w:type="pct"/>
            <w:vMerge/>
            <w:vAlign w:val="center"/>
          </w:tcPr>
          <w:p w14:paraId="19526EB3" w14:textId="77777777" w:rsidR="00DF1225" w:rsidRDefault="00DF1225">
            <w:pPr>
              <w:widowControl/>
              <w:jc w:val="left"/>
              <w:rPr>
                <w:rFonts w:ascii="Times New Roman" w:eastAsia="仿宋" w:hAnsi="Times New Roman" w:cs="宋体"/>
                <w:color w:val="000000"/>
                <w:kern w:val="0"/>
                <w:sz w:val="22"/>
              </w:rPr>
            </w:pPr>
          </w:p>
        </w:tc>
        <w:tc>
          <w:tcPr>
            <w:tcW w:w="1448" w:type="pct"/>
            <w:vMerge/>
            <w:noWrap/>
            <w:vAlign w:val="center"/>
          </w:tcPr>
          <w:p w14:paraId="0A6D9A2E" w14:textId="77777777" w:rsidR="00DF1225" w:rsidRDefault="00DF1225">
            <w:pPr>
              <w:widowControl/>
              <w:jc w:val="center"/>
              <w:rPr>
                <w:rFonts w:ascii="Times New Roman" w:eastAsia="仿宋" w:hAnsi="Times New Roman" w:cs="宋体"/>
                <w:color w:val="000000"/>
                <w:kern w:val="0"/>
                <w:sz w:val="24"/>
                <w:szCs w:val="24"/>
              </w:rPr>
            </w:pPr>
          </w:p>
        </w:tc>
        <w:tc>
          <w:tcPr>
            <w:tcW w:w="2108" w:type="pct"/>
            <w:noWrap/>
            <w:vAlign w:val="center"/>
          </w:tcPr>
          <w:p w14:paraId="29C07F53" w14:textId="77777777" w:rsidR="00DF1225" w:rsidRDefault="00000000">
            <w:pPr>
              <w:widowControl/>
              <w:jc w:val="center"/>
              <w:rPr>
                <w:rFonts w:ascii="Times New Roman" w:eastAsia="仿宋" w:hAnsi="Times New Roman" w:cs="宋体"/>
                <w:color w:val="000000"/>
                <w:kern w:val="0"/>
                <w:sz w:val="24"/>
                <w:szCs w:val="24"/>
              </w:rPr>
            </w:pPr>
            <w:proofErr w:type="gramStart"/>
            <w:r>
              <w:rPr>
                <w:rFonts w:ascii="Times New Roman" w:eastAsia="仿宋" w:hAnsi="Times New Roman" w:hint="eastAsia"/>
                <w:color w:val="000000"/>
                <w:kern w:val="0"/>
                <w:sz w:val="24"/>
                <w:szCs w:val="24"/>
              </w:rPr>
              <w:t>年碳强度</w:t>
            </w:r>
            <w:proofErr w:type="gramEnd"/>
            <w:r>
              <w:rPr>
                <w:rFonts w:ascii="Times New Roman" w:eastAsia="仿宋" w:hAnsi="Times New Roman" w:hint="eastAsia"/>
                <w:color w:val="000000"/>
                <w:kern w:val="0"/>
                <w:sz w:val="24"/>
                <w:szCs w:val="24"/>
              </w:rPr>
              <w:t>变化率</w:t>
            </w:r>
          </w:p>
        </w:tc>
      </w:tr>
    </w:tbl>
    <w:p w14:paraId="57F4826A" w14:textId="77777777" w:rsidR="00DF1225" w:rsidRDefault="00000000">
      <w:pPr>
        <w:widowControl/>
        <w:tabs>
          <w:tab w:val="left" w:pos="377"/>
        </w:tabs>
        <w:jc w:val="center"/>
        <w:rPr>
          <w:rFonts w:ascii="Times New Roman" w:eastAsia="仿宋" w:hAnsi="Times New Roman"/>
          <w:color w:val="000000" w:themeColor="text1"/>
          <w:sz w:val="24"/>
          <w:szCs w:val="24"/>
        </w:rPr>
      </w:pPr>
      <w:r>
        <w:rPr>
          <w:rFonts w:ascii="Times New Roman" w:eastAsia="仿宋" w:hAnsi="Times New Roman" w:hint="eastAsia"/>
          <w:noProof/>
          <w:color w:val="000000" w:themeColor="text1"/>
          <w:sz w:val="24"/>
          <w:szCs w:val="24"/>
        </w:rPr>
        <w:lastRenderedPageBreak/>
        <w:drawing>
          <wp:inline distT="0" distB="0" distL="114300" distR="114300" wp14:anchorId="728F1F80" wp14:editId="77B86F74">
            <wp:extent cx="5274000" cy="3439277"/>
            <wp:effectExtent l="0" t="0" r="6985" b="11430"/>
            <wp:docPr id="2" name="图片 5" descr="转型指数计算步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转型指数计算步骤"/>
                    <pic:cNvPicPr>
                      <a:picLocks noChangeAspect="1"/>
                    </pic:cNvPicPr>
                  </pic:nvPicPr>
                  <pic:blipFill>
                    <a:blip r:embed="rId7"/>
                    <a:stretch>
                      <a:fillRect/>
                    </a:stretch>
                  </pic:blipFill>
                  <pic:spPr>
                    <a:xfrm>
                      <a:off x="0" y="0"/>
                      <a:ext cx="5274000" cy="3439277"/>
                    </a:xfrm>
                    <a:prstGeom prst="rect">
                      <a:avLst/>
                    </a:prstGeom>
                  </pic:spPr>
                </pic:pic>
              </a:graphicData>
            </a:graphic>
          </wp:inline>
        </w:drawing>
      </w:r>
      <w:r>
        <w:rPr>
          <w:rFonts w:ascii="Times New Roman" w:eastAsia="仿宋" w:hAnsi="Times New Roman" w:hint="eastAsia"/>
          <w:color w:val="000000" w:themeColor="text1"/>
          <w:sz w:val="24"/>
          <w:szCs w:val="24"/>
        </w:rPr>
        <w:br/>
      </w:r>
    </w:p>
    <w:p w14:paraId="4B047361" w14:textId="295EF20F" w:rsidR="00DF1225" w:rsidRPr="001B2D69" w:rsidRDefault="00000000" w:rsidP="001B2D69">
      <w:pPr>
        <w:spacing w:afterLines="100" w:after="312" w:line="360" w:lineRule="auto"/>
        <w:jc w:val="center"/>
        <w:rPr>
          <w:rFonts w:ascii="Times New Roman" w:eastAsia="仿宋" w:hAnsi="Times New Roman"/>
          <w:b/>
          <w:bCs/>
          <w:kern w:val="0"/>
          <w:sz w:val="24"/>
          <w:szCs w:val="24"/>
        </w:rPr>
      </w:pPr>
      <w:r>
        <w:rPr>
          <w:rFonts w:ascii="Times New Roman" w:eastAsia="仿宋" w:hAnsi="Times New Roman" w:hint="eastAsia"/>
          <w:b/>
          <w:bCs/>
          <w:sz w:val="24"/>
          <w:szCs w:val="24"/>
        </w:rPr>
        <w:t>图</w:t>
      </w:r>
      <w:r>
        <w:rPr>
          <w:rFonts w:ascii="Times New Roman" w:eastAsia="仿宋" w:hAnsi="Times New Roman" w:hint="eastAsia"/>
          <w:b/>
          <w:bCs/>
          <w:sz w:val="24"/>
          <w:szCs w:val="24"/>
        </w:rPr>
        <w:t>1</w:t>
      </w:r>
      <w:r>
        <w:rPr>
          <w:rFonts w:ascii="Times New Roman" w:eastAsia="仿宋" w:hAnsi="Times New Roman" w:hint="eastAsia"/>
          <w:b/>
          <w:sz w:val="24"/>
          <w:szCs w:val="24"/>
        </w:rPr>
        <w:t xml:space="preserve"> </w:t>
      </w:r>
      <w:r>
        <w:rPr>
          <w:rFonts w:ascii="Times New Roman" w:eastAsia="仿宋" w:hAnsi="Times New Roman" w:hint="eastAsia"/>
          <w:b/>
          <w:bCs/>
          <w:sz w:val="24"/>
          <w:szCs w:val="24"/>
        </w:rPr>
        <w:t>石油公司能源</w:t>
      </w:r>
      <w:proofErr w:type="gramStart"/>
      <w:r>
        <w:rPr>
          <w:rFonts w:ascii="Times New Roman" w:eastAsia="仿宋" w:hAnsi="Times New Roman" w:hint="eastAsia"/>
          <w:b/>
          <w:bCs/>
          <w:sz w:val="24"/>
          <w:szCs w:val="24"/>
        </w:rPr>
        <w:t>转型指数</w:t>
      </w:r>
      <w:proofErr w:type="gramEnd"/>
      <w:r>
        <w:rPr>
          <w:rFonts w:ascii="Times New Roman" w:eastAsia="仿宋" w:hAnsi="Times New Roman" w:hint="eastAsia"/>
          <w:b/>
          <w:bCs/>
          <w:sz w:val="24"/>
          <w:szCs w:val="24"/>
        </w:rPr>
        <w:t>计算步骤</w:t>
      </w:r>
    </w:p>
    <w:p w14:paraId="04CB3E03" w14:textId="77777777" w:rsidR="00DF1225" w:rsidRDefault="00000000">
      <w:pPr>
        <w:keepLines/>
        <w:spacing w:line="360" w:lineRule="auto"/>
        <w:outlineLvl w:val="1"/>
        <w:rPr>
          <w:rFonts w:ascii="Times New Roman" w:eastAsia="仿宋" w:hAnsi="Times New Roman" w:cstheme="majorBidi"/>
          <w:b/>
          <w:bCs/>
          <w:sz w:val="28"/>
          <w:szCs w:val="28"/>
        </w:rPr>
      </w:pPr>
      <w:r>
        <w:rPr>
          <w:rFonts w:ascii="Times New Roman" w:eastAsia="仿宋" w:hAnsi="Times New Roman" w:cstheme="majorBidi" w:hint="eastAsia"/>
          <w:b/>
          <w:bCs/>
          <w:sz w:val="28"/>
          <w:szCs w:val="28"/>
        </w:rPr>
        <w:t>2.2</w:t>
      </w:r>
      <w:r>
        <w:rPr>
          <w:rFonts w:ascii="Times New Roman" w:eastAsia="仿宋" w:hAnsi="Times New Roman" w:cstheme="majorBidi" w:hint="eastAsia"/>
          <w:b/>
          <w:bCs/>
          <w:sz w:val="28"/>
          <w:szCs w:val="28"/>
        </w:rPr>
        <w:t>研究对象</w:t>
      </w:r>
    </w:p>
    <w:p w14:paraId="757F617E" w14:textId="3A78FB7F" w:rsidR="00DF1225" w:rsidRDefault="00000000" w:rsidP="001B2D69">
      <w:pPr>
        <w:widowControl/>
        <w:tabs>
          <w:tab w:val="left" w:pos="377"/>
        </w:tabs>
        <w:spacing w:line="360" w:lineRule="auto"/>
        <w:ind w:firstLineChars="200" w:firstLine="560"/>
        <w:rPr>
          <w:rFonts w:ascii="Times New Roman" w:eastAsia="仿宋" w:hAnsi="Times New Roman"/>
          <w:kern w:val="0"/>
          <w:sz w:val="28"/>
          <w:szCs w:val="28"/>
        </w:rPr>
      </w:pPr>
      <w:r>
        <w:rPr>
          <w:rFonts w:ascii="Times New Roman" w:eastAsia="仿宋" w:hAnsi="Times New Roman" w:hint="eastAsia"/>
          <w:sz w:val="28"/>
          <w:szCs w:val="28"/>
        </w:rPr>
        <w:t>本报告依据数据的可获取性与可衡量性原则，选取美国《石油情报周刊》（</w:t>
      </w:r>
      <w:r>
        <w:rPr>
          <w:rFonts w:ascii="Times New Roman" w:eastAsia="仿宋" w:hAnsi="Times New Roman" w:hint="eastAsia"/>
          <w:sz w:val="28"/>
          <w:szCs w:val="28"/>
        </w:rPr>
        <w:t>Petroleum Intelligence Weekly</w:t>
      </w:r>
      <w:r>
        <w:rPr>
          <w:rFonts w:ascii="Times New Roman" w:eastAsia="仿宋" w:hAnsi="Times New Roman" w:hint="eastAsia"/>
          <w:sz w:val="28"/>
          <w:szCs w:val="28"/>
        </w:rPr>
        <w:t>简称</w:t>
      </w:r>
      <w:r>
        <w:rPr>
          <w:rFonts w:ascii="Times New Roman" w:eastAsia="仿宋" w:hAnsi="Times New Roman" w:hint="eastAsia"/>
          <w:sz w:val="28"/>
          <w:szCs w:val="28"/>
        </w:rPr>
        <w:t>PIW</w:t>
      </w:r>
      <w:r>
        <w:rPr>
          <w:rFonts w:ascii="Times New Roman" w:eastAsia="仿宋" w:hAnsi="Times New Roman" w:hint="eastAsia"/>
          <w:sz w:val="28"/>
          <w:szCs w:val="28"/>
        </w:rPr>
        <w:t>）公布的</w:t>
      </w:r>
      <w:r>
        <w:rPr>
          <w:rFonts w:ascii="Times New Roman" w:eastAsia="仿宋" w:hAnsi="Times New Roman" w:hint="eastAsia"/>
          <w:sz w:val="28"/>
          <w:szCs w:val="28"/>
        </w:rPr>
        <w:t>2020</w:t>
      </w:r>
      <w:r>
        <w:rPr>
          <w:rFonts w:ascii="Times New Roman" w:eastAsia="仿宋" w:hAnsi="Times New Roman" w:hint="eastAsia"/>
          <w:sz w:val="28"/>
          <w:szCs w:val="28"/>
        </w:rPr>
        <w:t>年世界最大</w:t>
      </w:r>
      <w:r>
        <w:rPr>
          <w:rFonts w:ascii="Times New Roman" w:eastAsia="仿宋" w:hAnsi="Times New Roman" w:hint="eastAsia"/>
          <w:sz w:val="28"/>
          <w:szCs w:val="28"/>
        </w:rPr>
        <w:t>50</w:t>
      </w:r>
      <w:r>
        <w:rPr>
          <w:rFonts w:ascii="Times New Roman" w:eastAsia="仿宋" w:hAnsi="Times New Roman" w:hint="eastAsia"/>
          <w:sz w:val="28"/>
          <w:szCs w:val="28"/>
        </w:rPr>
        <w:t>家石油公司进行分析。由于部分石油公司的数据无法完全获取，进一步筛选沙特阿美、埃克森美孚、英国石油公司（</w:t>
      </w:r>
      <w:r>
        <w:rPr>
          <w:rFonts w:ascii="Times New Roman" w:eastAsia="仿宋" w:hAnsi="Times New Roman" w:hint="eastAsia"/>
          <w:sz w:val="28"/>
          <w:szCs w:val="28"/>
        </w:rPr>
        <w:t>BP</w:t>
      </w:r>
      <w:r>
        <w:rPr>
          <w:rFonts w:ascii="Times New Roman" w:eastAsia="仿宋" w:hAnsi="Times New Roman" w:hint="eastAsia"/>
          <w:sz w:val="28"/>
          <w:szCs w:val="28"/>
        </w:rPr>
        <w:t>）等</w:t>
      </w:r>
      <w:r>
        <w:rPr>
          <w:rFonts w:ascii="Times New Roman" w:eastAsia="仿宋" w:hAnsi="Times New Roman" w:hint="eastAsia"/>
          <w:sz w:val="28"/>
          <w:szCs w:val="28"/>
        </w:rPr>
        <w:t>27</w:t>
      </w:r>
      <w:r>
        <w:rPr>
          <w:rFonts w:ascii="Times New Roman" w:eastAsia="仿宋" w:hAnsi="Times New Roman" w:hint="eastAsia"/>
          <w:sz w:val="28"/>
          <w:szCs w:val="28"/>
        </w:rPr>
        <w:t>家石油公司进行分析，如表</w:t>
      </w:r>
      <w:r>
        <w:rPr>
          <w:rFonts w:ascii="Times New Roman" w:eastAsia="仿宋" w:hAnsi="Times New Roman" w:hint="eastAsia"/>
          <w:sz w:val="28"/>
          <w:szCs w:val="28"/>
        </w:rPr>
        <w:t>2</w:t>
      </w:r>
      <w:r>
        <w:rPr>
          <w:rFonts w:ascii="Times New Roman" w:eastAsia="仿宋" w:hAnsi="Times New Roman" w:hint="eastAsia"/>
          <w:sz w:val="28"/>
          <w:szCs w:val="28"/>
        </w:rPr>
        <w:t>所示。</w:t>
      </w:r>
    </w:p>
    <w:p w14:paraId="32CC03EE" w14:textId="77777777" w:rsidR="00DF1225" w:rsidRDefault="00000000">
      <w:pPr>
        <w:widowControl/>
        <w:tabs>
          <w:tab w:val="left" w:pos="377"/>
        </w:tabs>
        <w:spacing w:afterLines="100" w:after="312" w:line="360" w:lineRule="auto"/>
        <w:jc w:val="center"/>
        <w:rPr>
          <w:rFonts w:ascii="Times New Roman" w:eastAsia="仿宋" w:hAnsi="Times New Roman"/>
          <w:kern w:val="0"/>
          <w:sz w:val="24"/>
          <w:szCs w:val="24"/>
        </w:rPr>
      </w:pPr>
      <w:r>
        <w:rPr>
          <w:rFonts w:ascii="Times New Roman" w:eastAsia="仿宋" w:hAnsi="Times New Roman" w:hint="eastAsia"/>
          <w:b/>
          <w:bCs/>
          <w:sz w:val="24"/>
          <w:szCs w:val="24"/>
        </w:rPr>
        <w:t>表</w:t>
      </w:r>
      <w:r>
        <w:rPr>
          <w:rFonts w:ascii="Times New Roman" w:eastAsia="仿宋" w:hAnsi="Times New Roman" w:hint="eastAsia"/>
          <w:b/>
          <w:bCs/>
          <w:sz w:val="24"/>
          <w:szCs w:val="24"/>
        </w:rPr>
        <w:t xml:space="preserve">2 </w:t>
      </w:r>
      <w:r>
        <w:rPr>
          <w:rFonts w:ascii="Times New Roman" w:eastAsia="仿宋" w:hAnsi="Times New Roman" w:hint="eastAsia"/>
          <w:b/>
          <w:bCs/>
          <w:sz w:val="24"/>
          <w:szCs w:val="24"/>
        </w:rPr>
        <w:t>国际石油公司选取</w:t>
      </w:r>
    </w:p>
    <w:tbl>
      <w:tblPr>
        <w:tblW w:w="8456"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761"/>
        <w:gridCol w:w="3586"/>
        <w:gridCol w:w="732"/>
        <w:gridCol w:w="3377"/>
      </w:tblGrid>
      <w:tr w:rsidR="00DF1225" w14:paraId="480D8FF6" w14:textId="77777777" w:rsidTr="006520E2">
        <w:trPr>
          <w:trHeight w:val="501"/>
        </w:trPr>
        <w:tc>
          <w:tcPr>
            <w:tcW w:w="761" w:type="dxa"/>
            <w:tcBorders>
              <w:top w:val="single" w:sz="12" w:space="0" w:color="auto"/>
              <w:bottom w:val="single" w:sz="4" w:space="0" w:color="auto"/>
            </w:tcBorders>
            <w:noWrap/>
            <w:vAlign w:val="center"/>
          </w:tcPr>
          <w:p w14:paraId="57BF7D54" w14:textId="77777777" w:rsidR="00DF1225" w:rsidRDefault="00000000">
            <w:pPr>
              <w:widowControl/>
              <w:jc w:val="center"/>
              <w:rPr>
                <w:rFonts w:ascii="Times New Roman" w:eastAsia="仿宋" w:hAnsi="Times New Roman" w:cs="宋体"/>
                <w:b/>
                <w:bCs/>
                <w:color w:val="000000"/>
                <w:kern w:val="0"/>
                <w:sz w:val="24"/>
                <w:szCs w:val="24"/>
              </w:rPr>
            </w:pPr>
            <w:r>
              <w:rPr>
                <w:rFonts w:ascii="Times New Roman" w:eastAsia="仿宋" w:hAnsi="Times New Roman" w:hint="eastAsia"/>
                <w:b/>
                <w:bCs/>
                <w:color w:val="000000"/>
                <w:kern w:val="0"/>
                <w:sz w:val="24"/>
                <w:szCs w:val="24"/>
              </w:rPr>
              <w:t>序号</w:t>
            </w:r>
          </w:p>
        </w:tc>
        <w:tc>
          <w:tcPr>
            <w:tcW w:w="3586" w:type="dxa"/>
            <w:tcBorders>
              <w:top w:val="single" w:sz="12" w:space="0" w:color="auto"/>
              <w:bottom w:val="single" w:sz="4" w:space="0" w:color="auto"/>
            </w:tcBorders>
            <w:noWrap/>
            <w:vAlign w:val="center"/>
          </w:tcPr>
          <w:p w14:paraId="6837DE5F" w14:textId="77777777" w:rsidR="00DF1225" w:rsidRDefault="00000000">
            <w:pPr>
              <w:widowControl/>
              <w:jc w:val="center"/>
              <w:rPr>
                <w:rFonts w:ascii="Times New Roman" w:eastAsia="仿宋" w:hAnsi="Times New Roman" w:cs="宋体"/>
                <w:b/>
                <w:bCs/>
                <w:color w:val="000000"/>
                <w:kern w:val="0"/>
                <w:sz w:val="24"/>
                <w:szCs w:val="24"/>
              </w:rPr>
            </w:pPr>
            <w:r>
              <w:rPr>
                <w:rFonts w:ascii="Times New Roman" w:eastAsia="仿宋" w:hAnsi="Times New Roman" w:hint="eastAsia"/>
                <w:b/>
                <w:bCs/>
                <w:color w:val="000000"/>
                <w:kern w:val="0"/>
                <w:sz w:val="24"/>
                <w:szCs w:val="24"/>
              </w:rPr>
              <w:t>石油公司名称</w:t>
            </w:r>
          </w:p>
        </w:tc>
        <w:tc>
          <w:tcPr>
            <w:tcW w:w="732" w:type="dxa"/>
            <w:tcBorders>
              <w:top w:val="single" w:sz="12" w:space="0" w:color="auto"/>
              <w:bottom w:val="single" w:sz="4" w:space="0" w:color="auto"/>
            </w:tcBorders>
            <w:noWrap/>
            <w:vAlign w:val="center"/>
          </w:tcPr>
          <w:p w14:paraId="425AE111" w14:textId="77777777" w:rsidR="00DF1225" w:rsidRDefault="00000000">
            <w:pPr>
              <w:widowControl/>
              <w:jc w:val="center"/>
              <w:rPr>
                <w:rFonts w:ascii="Times New Roman" w:eastAsia="仿宋" w:hAnsi="Times New Roman" w:cs="宋体"/>
                <w:b/>
                <w:bCs/>
                <w:color w:val="000000"/>
                <w:kern w:val="0"/>
                <w:sz w:val="24"/>
                <w:szCs w:val="24"/>
              </w:rPr>
            </w:pPr>
            <w:r>
              <w:rPr>
                <w:rFonts w:ascii="Times New Roman" w:eastAsia="仿宋" w:hAnsi="Times New Roman" w:hint="eastAsia"/>
                <w:b/>
                <w:bCs/>
                <w:color w:val="000000"/>
                <w:kern w:val="0"/>
                <w:sz w:val="24"/>
                <w:szCs w:val="24"/>
              </w:rPr>
              <w:t>序号</w:t>
            </w:r>
          </w:p>
        </w:tc>
        <w:tc>
          <w:tcPr>
            <w:tcW w:w="3377" w:type="dxa"/>
            <w:tcBorders>
              <w:top w:val="single" w:sz="12" w:space="0" w:color="auto"/>
              <w:bottom w:val="single" w:sz="4" w:space="0" w:color="auto"/>
            </w:tcBorders>
            <w:noWrap/>
            <w:vAlign w:val="center"/>
          </w:tcPr>
          <w:p w14:paraId="33791B00" w14:textId="77777777" w:rsidR="00DF1225" w:rsidRDefault="00000000">
            <w:pPr>
              <w:widowControl/>
              <w:jc w:val="center"/>
              <w:rPr>
                <w:rFonts w:ascii="Times New Roman" w:eastAsia="仿宋" w:hAnsi="Times New Roman" w:cs="宋体"/>
                <w:b/>
                <w:bCs/>
                <w:color w:val="000000"/>
                <w:kern w:val="0"/>
                <w:sz w:val="24"/>
                <w:szCs w:val="24"/>
              </w:rPr>
            </w:pPr>
            <w:r>
              <w:rPr>
                <w:rFonts w:ascii="Times New Roman" w:eastAsia="仿宋" w:hAnsi="Times New Roman" w:hint="eastAsia"/>
                <w:b/>
                <w:bCs/>
                <w:color w:val="000000"/>
                <w:kern w:val="0"/>
                <w:sz w:val="24"/>
                <w:szCs w:val="24"/>
              </w:rPr>
              <w:t>石油公司名称</w:t>
            </w:r>
          </w:p>
        </w:tc>
      </w:tr>
      <w:tr w:rsidR="00DF1225" w14:paraId="0E82631D" w14:textId="77777777">
        <w:trPr>
          <w:trHeight w:val="516"/>
        </w:trPr>
        <w:tc>
          <w:tcPr>
            <w:tcW w:w="761" w:type="dxa"/>
            <w:tcBorders>
              <w:top w:val="single" w:sz="4" w:space="0" w:color="auto"/>
              <w:bottom w:val="nil"/>
            </w:tcBorders>
            <w:noWrap/>
            <w:vAlign w:val="center"/>
          </w:tcPr>
          <w:p w14:paraId="4B58BCB7"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t>1</w:t>
            </w:r>
          </w:p>
        </w:tc>
        <w:tc>
          <w:tcPr>
            <w:tcW w:w="3586" w:type="dxa"/>
            <w:tcBorders>
              <w:top w:val="single" w:sz="4" w:space="0" w:color="auto"/>
              <w:bottom w:val="nil"/>
            </w:tcBorders>
            <w:noWrap/>
            <w:vAlign w:val="center"/>
          </w:tcPr>
          <w:p w14:paraId="264C84FC"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沙特阿美</w:t>
            </w:r>
          </w:p>
        </w:tc>
        <w:tc>
          <w:tcPr>
            <w:tcW w:w="732" w:type="dxa"/>
            <w:tcBorders>
              <w:top w:val="single" w:sz="4" w:space="0" w:color="auto"/>
              <w:bottom w:val="nil"/>
            </w:tcBorders>
            <w:noWrap/>
            <w:vAlign w:val="center"/>
          </w:tcPr>
          <w:p w14:paraId="60967C7B"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t>7</w:t>
            </w:r>
          </w:p>
        </w:tc>
        <w:tc>
          <w:tcPr>
            <w:tcW w:w="3377" w:type="dxa"/>
            <w:tcBorders>
              <w:top w:val="single" w:sz="4" w:space="0" w:color="auto"/>
              <w:bottom w:val="nil"/>
            </w:tcBorders>
            <w:noWrap/>
            <w:vAlign w:val="center"/>
          </w:tcPr>
          <w:p w14:paraId="083258B9"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道达尔能源</w:t>
            </w:r>
          </w:p>
        </w:tc>
      </w:tr>
      <w:tr w:rsidR="00DF1225" w14:paraId="7B9511D9" w14:textId="77777777">
        <w:trPr>
          <w:trHeight w:val="516"/>
        </w:trPr>
        <w:tc>
          <w:tcPr>
            <w:tcW w:w="761" w:type="dxa"/>
            <w:tcBorders>
              <w:top w:val="nil"/>
              <w:bottom w:val="nil"/>
            </w:tcBorders>
            <w:noWrap/>
            <w:vAlign w:val="center"/>
          </w:tcPr>
          <w:p w14:paraId="3B2101F6"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t>2</w:t>
            </w:r>
          </w:p>
        </w:tc>
        <w:tc>
          <w:tcPr>
            <w:tcW w:w="3586" w:type="dxa"/>
            <w:tcBorders>
              <w:top w:val="nil"/>
              <w:bottom w:val="nil"/>
            </w:tcBorders>
            <w:noWrap/>
            <w:vAlign w:val="center"/>
          </w:tcPr>
          <w:p w14:paraId="7C551D92"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埃克森美孚</w:t>
            </w:r>
          </w:p>
        </w:tc>
        <w:tc>
          <w:tcPr>
            <w:tcW w:w="732" w:type="dxa"/>
            <w:tcBorders>
              <w:top w:val="nil"/>
              <w:bottom w:val="nil"/>
            </w:tcBorders>
            <w:noWrap/>
            <w:vAlign w:val="center"/>
          </w:tcPr>
          <w:p w14:paraId="685C56C2"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t>8</w:t>
            </w:r>
          </w:p>
        </w:tc>
        <w:tc>
          <w:tcPr>
            <w:tcW w:w="3377" w:type="dxa"/>
            <w:tcBorders>
              <w:top w:val="nil"/>
              <w:bottom w:val="nil"/>
            </w:tcBorders>
            <w:noWrap/>
            <w:vAlign w:val="center"/>
          </w:tcPr>
          <w:p w14:paraId="39793FE5"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雪佛龙</w:t>
            </w:r>
          </w:p>
        </w:tc>
      </w:tr>
      <w:tr w:rsidR="00DF1225" w14:paraId="3DC3824E" w14:textId="77777777" w:rsidTr="006520E2">
        <w:trPr>
          <w:trHeight w:val="516"/>
        </w:trPr>
        <w:tc>
          <w:tcPr>
            <w:tcW w:w="761" w:type="dxa"/>
            <w:tcBorders>
              <w:top w:val="nil"/>
              <w:bottom w:val="single" w:sz="12" w:space="0" w:color="auto"/>
            </w:tcBorders>
            <w:noWrap/>
            <w:vAlign w:val="center"/>
          </w:tcPr>
          <w:p w14:paraId="20DAB3FC"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t>3</w:t>
            </w:r>
          </w:p>
        </w:tc>
        <w:tc>
          <w:tcPr>
            <w:tcW w:w="3586" w:type="dxa"/>
            <w:tcBorders>
              <w:top w:val="nil"/>
              <w:bottom w:val="single" w:sz="12" w:space="0" w:color="auto"/>
            </w:tcBorders>
            <w:noWrap/>
            <w:vAlign w:val="center"/>
          </w:tcPr>
          <w:p w14:paraId="013791A8"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英国石油公司（</w:t>
            </w:r>
            <w:r>
              <w:rPr>
                <w:rFonts w:ascii="Times New Roman" w:eastAsia="仿宋" w:hAnsi="Times New Roman" w:hint="eastAsia"/>
                <w:color w:val="000000"/>
                <w:kern w:val="0"/>
                <w:sz w:val="24"/>
                <w:szCs w:val="24"/>
              </w:rPr>
              <w:t>BP</w:t>
            </w:r>
            <w:r>
              <w:rPr>
                <w:rFonts w:ascii="Times New Roman" w:eastAsia="仿宋" w:hAnsi="Times New Roman" w:hint="eastAsia"/>
                <w:color w:val="000000"/>
                <w:kern w:val="0"/>
                <w:sz w:val="24"/>
                <w:szCs w:val="24"/>
              </w:rPr>
              <w:t>）</w:t>
            </w:r>
          </w:p>
        </w:tc>
        <w:tc>
          <w:tcPr>
            <w:tcW w:w="732" w:type="dxa"/>
            <w:tcBorders>
              <w:top w:val="nil"/>
              <w:bottom w:val="single" w:sz="12" w:space="0" w:color="auto"/>
            </w:tcBorders>
            <w:noWrap/>
            <w:vAlign w:val="center"/>
          </w:tcPr>
          <w:p w14:paraId="4BDB9BF8"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t>9</w:t>
            </w:r>
          </w:p>
        </w:tc>
        <w:tc>
          <w:tcPr>
            <w:tcW w:w="3377" w:type="dxa"/>
            <w:tcBorders>
              <w:top w:val="nil"/>
              <w:bottom w:val="single" w:sz="12" w:space="0" w:color="auto"/>
            </w:tcBorders>
            <w:noWrap/>
            <w:vAlign w:val="center"/>
          </w:tcPr>
          <w:p w14:paraId="42FB4CF1"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卢克</w:t>
            </w:r>
          </w:p>
        </w:tc>
      </w:tr>
      <w:tr w:rsidR="00DF1225" w14:paraId="428D41EA" w14:textId="77777777" w:rsidTr="006520E2">
        <w:trPr>
          <w:trHeight w:val="516"/>
        </w:trPr>
        <w:tc>
          <w:tcPr>
            <w:tcW w:w="761" w:type="dxa"/>
            <w:tcBorders>
              <w:top w:val="single" w:sz="12" w:space="0" w:color="auto"/>
              <w:bottom w:val="nil"/>
            </w:tcBorders>
            <w:noWrap/>
            <w:vAlign w:val="center"/>
          </w:tcPr>
          <w:p w14:paraId="106AD27D"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lastRenderedPageBreak/>
              <w:t>4</w:t>
            </w:r>
          </w:p>
        </w:tc>
        <w:tc>
          <w:tcPr>
            <w:tcW w:w="3586" w:type="dxa"/>
            <w:tcBorders>
              <w:top w:val="single" w:sz="12" w:space="0" w:color="auto"/>
              <w:bottom w:val="nil"/>
            </w:tcBorders>
            <w:noWrap/>
            <w:vAlign w:val="center"/>
          </w:tcPr>
          <w:p w14:paraId="6D19CB51"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俄罗斯国家石油公司</w:t>
            </w:r>
          </w:p>
        </w:tc>
        <w:tc>
          <w:tcPr>
            <w:tcW w:w="732" w:type="dxa"/>
            <w:tcBorders>
              <w:top w:val="single" w:sz="12" w:space="0" w:color="auto"/>
              <w:bottom w:val="nil"/>
            </w:tcBorders>
            <w:noWrap/>
            <w:vAlign w:val="center"/>
          </w:tcPr>
          <w:p w14:paraId="1199CE53"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t>10</w:t>
            </w:r>
          </w:p>
        </w:tc>
        <w:tc>
          <w:tcPr>
            <w:tcW w:w="3377" w:type="dxa"/>
            <w:tcBorders>
              <w:top w:val="single" w:sz="12" w:space="0" w:color="auto"/>
              <w:bottom w:val="nil"/>
            </w:tcBorders>
            <w:noWrap/>
            <w:vAlign w:val="center"/>
          </w:tcPr>
          <w:p w14:paraId="548D0F35"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巴西国家石油公司</w:t>
            </w:r>
          </w:p>
        </w:tc>
      </w:tr>
      <w:tr w:rsidR="00DF1225" w14:paraId="6C676599" w14:textId="77777777" w:rsidTr="006520E2">
        <w:trPr>
          <w:trHeight w:val="516"/>
        </w:trPr>
        <w:tc>
          <w:tcPr>
            <w:tcW w:w="761" w:type="dxa"/>
            <w:tcBorders>
              <w:top w:val="nil"/>
              <w:bottom w:val="nil"/>
            </w:tcBorders>
            <w:noWrap/>
            <w:vAlign w:val="center"/>
          </w:tcPr>
          <w:p w14:paraId="402689CC"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t>5</w:t>
            </w:r>
          </w:p>
        </w:tc>
        <w:tc>
          <w:tcPr>
            <w:tcW w:w="3586" w:type="dxa"/>
            <w:tcBorders>
              <w:top w:val="nil"/>
              <w:bottom w:val="nil"/>
            </w:tcBorders>
            <w:noWrap/>
            <w:vAlign w:val="center"/>
          </w:tcPr>
          <w:p w14:paraId="21811E25"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壳牌</w:t>
            </w:r>
          </w:p>
        </w:tc>
        <w:tc>
          <w:tcPr>
            <w:tcW w:w="732" w:type="dxa"/>
            <w:tcBorders>
              <w:top w:val="nil"/>
              <w:bottom w:val="nil"/>
            </w:tcBorders>
            <w:noWrap/>
            <w:vAlign w:val="center"/>
          </w:tcPr>
          <w:p w14:paraId="716E2C68"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t>11</w:t>
            </w:r>
          </w:p>
        </w:tc>
        <w:tc>
          <w:tcPr>
            <w:tcW w:w="3377" w:type="dxa"/>
            <w:tcBorders>
              <w:top w:val="nil"/>
              <w:bottom w:val="nil"/>
            </w:tcBorders>
            <w:noWrap/>
            <w:vAlign w:val="center"/>
          </w:tcPr>
          <w:p w14:paraId="2AAA901D"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埃尼</w:t>
            </w:r>
          </w:p>
        </w:tc>
      </w:tr>
      <w:tr w:rsidR="00DF1225" w14:paraId="27626C37" w14:textId="77777777" w:rsidTr="006520E2">
        <w:trPr>
          <w:trHeight w:val="516"/>
        </w:trPr>
        <w:tc>
          <w:tcPr>
            <w:tcW w:w="761" w:type="dxa"/>
            <w:tcBorders>
              <w:top w:val="nil"/>
              <w:bottom w:val="single" w:sz="12" w:space="0" w:color="auto"/>
            </w:tcBorders>
            <w:noWrap/>
            <w:vAlign w:val="center"/>
          </w:tcPr>
          <w:p w14:paraId="55B1A035"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t>6</w:t>
            </w:r>
          </w:p>
        </w:tc>
        <w:tc>
          <w:tcPr>
            <w:tcW w:w="3586" w:type="dxa"/>
            <w:tcBorders>
              <w:top w:val="nil"/>
              <w:bottom w:val="single" w:sz="12" w:space="0" w:color="auto"/>
            </w:tcBorders>
            <w:noWrap/>
            <w:vAlign w:val="center"/>
          </w:tcPr>
          <w:p w14:paraId="1A5BF463"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俄罗斯天然气工业公司</w:t>
            </w:r>
          </w:p>
        </w:tc>
        <w:tc>
          <w:tcPr>
            <w:tcW w:w="732" w:type="dxa"/>
            <w:tcBorders>
              <w:top w:val="nil"/>
              <w:bottom w:val="single" w:sz="12" w:space="0" w:color="auto"/>
            </w:tcBorders>
            <w:noWrap/>
            <w:vAlign w:val="center"/>
          </w:tcPr>
          <w:p w14:paraId="54BB395A"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t>12</w:t>
            </w:r>
          </w:p>
        </w:tc>
        <w:tc>
          <w:tcPr>
            <w:tcW w:w="3377" w:type="dxa"/>
            <w:tcBorders>
              <w:top w:val="nil"/>
              <w:bottom w:val="single" w:sz="12" w:space="0" w:color="auto"/>
            </w:tcBorders>
            <w:noWrap/>
            <w:vAlign w:val="center"/>
          </w:tcPr>
          <w:p w14:paraId="2D942529"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马来西亚国家石油公司</w:t>
            </w:r>
          </w:p>
        </w:tc>
      </w:tr>
    </w:tbl>
    <w:p w14:paraId="05DE370D" w14:textId="77777777" w:rsidR="00DF1225" w:rsidRDefault="00000000">
      <w:pPr>
        <w:spacing w:afterLines="100" w:after="312" w:line="360" w:lineRule="auto"/>
        <w:jc w:val="center"/>
        <w:rPr>
          <w:rFonts w:ascii="Times New Roman" w:eastAsia="仿宋" w:hAnsi="Times New Roman"/>
          <w:b/>
          <w:bCs/>
          <w:sz w:val="24"/>
          <w:szCs w:val="24"/>
        </w:rPr>
      </w:pPr>
      <w:bookmarkStart w:id="0" w:name="_Hlk110634348"/>
      <w:bookmarkStart w:id="1" w:name="_Hlk110618595"/>
      <w:r>
        <w:rPr>
          <w:rFonts w:ascii="Times New Roman" w:eastAsia="仿宋" w:hAnsi="Times New Roman" w:hint="eastAsia"/>
          <w:b/>
          <w:bCs/>
          <w:sz w:val="24"/>
          <w:szCs w:val="24"/>
        </w:rPr>
        <w:t>表</w:t>
      </w:r>
      <w:r>
        <w:rPr>
          <w:rFonts w:ascii="Times New Roman" w:eastAsia="仿宋" w:hAnsi="Times New Roman" w:hint="eastAsia"/>
          <w:b/>
          <w:bCs/>
          <w:sz w:val="24"/>
          <w:szCs w:val="24"/>
        </w:rPr>
        <w:t>2</w:t>
      </w:r>
      <w:r>
        <w:rPr>
          <w:rFonts w:ascii="Times New Roman" w:eastAsia="仿宋" w:hAnsi="Times New Roman" w:hint="eastAsia"/>
          <w:b/>
          <w:bCs/>
          <w:sz w:val="24"/>
          <w:szCs w:val="24"/>
        </w:rPr>
        <w:t>续</w:t>
      </w:r>
      <w:r>
        <w:rPr>
          <w:rFonts w:ascii="Times New Roman" w:eastAsia="仿宋" w:hAnsi="Times New Roman" w:hint="eastAsia"/>
          <w:b/>
          <w:bCs/>
          <w:sz w:val="24"/>
          <w:szCs w:val="24"/>
        </w:rPr>
        <w:t xml:space="preserve"> </w:t>
      </w:r>
      <w:r>
        <w:rPr>
          <w:rFonts w:ascii="Times New Roman" w:eastAsia="仿宋" w:hAnsi="Times New Roman" w:hint="eastAsia"/>
          <w:b/>
          <w:bCs/>
          <w:sz w:val="24"/>
          <w:szCs w:val="24"/>
        </w:rPr>
        <w:t>国际石油公司选取</w:t>
      </w:r>
    </w:p>
    <w:tbl>
      <w:tblPr>
        <w:tblW w:w="8456"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761"/>
        <w:gridCol w:w="3586"/>
        <w:gridCol w:w="800"/>
        <w:gridCol w:w="3309"/>
      </w:tblGrid>
      <w:tr w:rsidR="00DF1225" w14:paraId="43156A58" w14:textId="77777777" w:rsidTr="006520E2">
        <w:trPr>
          <w:trHeight w:val="547"/>
        </w:trPr>
        <w:tc>
          <w:tcPr>
            <w:tcW w:w="761" w:type="dxa"/>
            <w:tcBorders>
              <w:top w:val="single" w:sz="12" w:space="0" w:color="auto"/>
              <w:bottom w:val="single" w:sz="4" w:space="0" w:color="auto"/>
            </w:tcBorders>
            <w:noWrap/>
            <w:vAlign w:val="center"/>
          </w:tcPr>
          <w:p w14:paraId="38F2A29F" w14:textId="77777777" w:rsidR="00DF1225" w:rsidRDefault="00000000">
            <w:pPr>
              <w:widowControl/>
              <w:jc w:val="center"/>
              <w:rPr>
                <w:rFonts w:ascii="Times New Roman" w:eastAsia="仿宋" w:hAnsi="Times New Roman" w:cs="宋体"/>
                <w:b/>
                <w:bCs/>
                <w:color w:val="000000"/>
                <w:kern w:val="0"/>
                <w:sz w:val="24"/>
                <w:szCs w:val="24"/>
              </w:rPr>
            </w:pPr>
            <w:r>
              <w:rPr>
                <w:rFonts w:ascii="Times New Roman" w:eastAsia="仿宋" w:hAnsi="Times New Roman" w:hint="eastAsia"/>
                <w:b/>
                <w:bCs/>
                <w:color w:val="000000"/>
                <w:kern w:val="0"/>
                <w:sz w:val="24"/>
                <w:szCs w:val="24"/>
              </w:rPr>
              <w:t>序号</w:t>
            </w:r>
          </w:p>
        </w:tc>
        <w:tc>
          <w:tcPr>
            <w:tcW w:w="3586" w:type="dxa"/>
            <w:tcBorders>
              <w:top w:val="single" w:sz="12" w:space="0" w:color="auto"/>
              <w:bottom w:val="single" w:sz="4" w:space="0" w:color="auto"/>
            </w:tcBorders>
            <w:noWrap/>
            <w:vAlign w:val="center"/>
          </w:tcPr>
          <w:p w14:paraId="4F5590BE" w14:textId="77777777" w:rsidR="00DF1225" w:rsidRDefault="00000000">
            <w:pPr>
              <w:widowControl/>
              <w:jc w:val="center"/>
              <w:rPr>
                <w:rFonts w:ascii="Times New Roman" w:eastAsia="仿宋" w:hAnsi="Times New Roman" w:cs="宋体"/>
                <w:b/>
                <w:bCs/>
                <w:color w:val="000000"/>
                <w:kern w:val="0"/>
                <w:sz w:val="24"/>
                <w:szCs w:val="24"/>
              </w:rPr>
            </w:pPr>
            <w:r>
              <w:rPr>
                <w:rFonts w:ascii="Times New Roman" w:eastAsia="仿宋" w:hAnsi="Times New Roman" w:hint="eastAsia"/>
                <w:b/>
                <w:bCs/>
                <w:color w:val="000000"/>
                <w:kern w:val="0"/>
                <w:sz w:val="24"/>
                <w:szCs w:val="24"/>
              </w:rPr>
              <w:t>石油公司名称</w:t>
            </w:r>
          </w:p>
        </w:tc>
        <w:tc>
          <w:tcPr>
            <w:tcW w:w="800" w:type="dxa"/>
            <w:tcBorders>
              <w:top w:val="single" w:sz="12" w:space="0" w:color="auto"/>
              <w:bottom w:val="single" w:sz="4" w:space="0" w:color="auto"/>
            </w:tcBorders>
            <w:noWrap/>
            <w:vAlign w:val="center"/>
          </w:tcPr>
          <w:p w14:paraId="209EA0D7" w14:textId="77777777" w:rsidR="00DF1225" w:rsidRDefault="00000000">
            <w:pPr>
              <w:widowControl/>
              <w:jc w:val="center"/>
              <w:rPr>
                <w:rFonts w:ascii="Times New Roman" w:eastAsia="仿宋" w:hAnsi="Times New Roman" w:cs="宋体"/>
                <w:b/>
                <w:bCs/>
                <w:color w:val="000000"/>
                <w:kern w:val="0"/>
                <w:sz w:val="24"/>
                <w:szCs w:val="24"/>
              </w:rPr>
            </w:pPr>
            <w:r>
              <w:rPr>
                <w:rFonts w:ascii="Times New Roman" w:eastAsia="仿宋" w:hAnsi="Times New Roman" w:hint="eastAsia"/>
                <w:b/>
                <w:bCs/>
                <w:color w:val="000000"/>
                <w:kern w:val="0"/>
                <w:sz w:val="24"/>
                <w:szCs w:val="24"/>
              </w:rPr>
              <w:t>序号</w:t>
            </w:r>
          </w:p>
        </w:tc>
        <w:tc>
          <w:tcPr>
            <w:tcW w:w="3309" w:type="dxa"/>
            <w:tcBorders>
              <w:top w:val="single" w:sz="12" w:space="0" w:color="auto"/>
              <w:bottom w:val="single" w:sz="4" w:space="0" w:color="auto"/>
            </w:tcBorders>
            <w:noWrap/>
            <w:vAlign w:val="center"/>
          </w:tcPr>
          <w:p w14:paraId="008D2D74" w14:textId="77777777" w:rsidR="00DF1225" w:rsidRDefault="00000000">
            <w:pPr>
              <w:widowControl/>
              <w:jc w:val="center"/>
              <w:rPr>
                <w:rFonts w:ascii="Times New Roman" w:eastAsia="仿宋" w:hAnsi="Times New Roman" w:cs="宋体"/>
                <w:b/>
                <w:bCs/>
                <w:color w:val="000000"/>
                <w:kern w:val="0"/>
                <w:sz w:val="24"/>
                <w:szCs w:val="24"/>
              </w:rPr>
            </w:pPr>
            <w:r>
              <w:rPr>
                <w:rFonts w:ascii="Times New Roman" w:eastAsia="仿宋" w:hAnsi="Times New Roman" w:hint="eastAsia"/>
                <w:b/>
                <w:bCs/>
                <w:color w:val="000000"/>
                <w:kern w:val="0"/>
                <w:sz w:val="24"/>
                <w:szCs w:val="24"/>
              </w:rPr>
              <w:t>石油公司名称</w:t>
            </w:r>
          </w:p>
        </w:tc>
      </w:tr>
      <w:tr w:rsidR="00DF1225" w14:paraId="5CAA6EA2" w14:textId="77777777">
        <w:trPr>
          <w:trHeight w:val="516"/>
        </w:trPr>
        <w:tc>
          <w:tcPr>
            <w:tcW w:w="761" w:type="dxa"/>
            <w:tcBorders>
              <w:top w:val="single" w:sz="4" w:space="0" w:color="auto"/>
              <w:bottom w:val="nil"/>
            </w:tcBorders>
            <w:noWrap/>
            <w:vAlign w:val="center"/>
          </w:tcPr>
          <w:p w14:paraId="279D9C72"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t>13</w:t>
            </w:r>
          </w:p>
        </w:tc>
        <w:tc>
          <w:tcPr>
            <w:tcW w:w="3586" w:type="dxa"/>
            <w:tcBorders>
              <w:top w:val="single" w:sz="4" w:space="0" w:color="auto"/>
              <w:bottom w:val="nil"/>
            </w:tcBorders>
            <w:noWrap/>
            <w:vAlign w:val="center"/>
          </w:tcPr>
          <w:p w14:paraId="6487849F"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印度尼西亚国家石油公司</w:t>
            </w:r>
          </w:p>
        </w:tc>
        <w:tc>
          <w:tcPr>
            <w:tcW w:w="800" w:type="dxa"/>
            <w:tcBorders>
              <w:top w:val="single" w:sz="4" w:space="0" w:color="auto"/>
              <w:bottom w:val="nil"/>
            </w:tcBorders>
            <w:noWrap/>
            <w:vAlign w:val="center"/>
          </w:tcPr>
          <w:p w14:paraId="3DF7C558"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t>21</w:t>
            </w:r>
          </w:p>
        </w:tc>
        <w:tc>
          <w:tcPr>
            <w:tcW w:w="3309" w:type="dxa"/>
            <w:tcBorders>
              <w:top w:val="single" w:sz="4" w:space="0" w:color="auto"/>
              <w:bottom w:val="nil"/>
            </w:tcBorders>
            <w:noWrap/>
            <w:vAlign w:val="center"/>
          </w:tcPr>
          <w:p w14:paraId="655A84ED"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哥伦比亚国家石油公司</w:t>
            </w:r>
          </w:p>
        </w:tc>
      </w:tr>
      <w:tr w:rsidR="00DF1225" w14:paraId="2D542983" w14:textId="77777777">
        <w:trPr>
          <w:trHeight w:val="516"/>
        </w:trPr>
        <w:tc>
          <w:tcPr>
            <w:tcW w:w="761" w:type="dxa"/>
            <w:tcBorders>
              <w:top w:val="nil"/>
              <w:bottom w:val="nil"/>
            </w:tcBorders>
            <w:noWrap/>
            <w:vAlign w:val="center"/>
          </w:tcPr>
          <w:p w14:paraId="11632455"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t>14</w:t>
            </w:r>
          </w:p>
        </w:tc>
        <w:tc>
          <w:tcPr>
            <w:tcW w:w="3586" w:type="dxa"/>
            <w:tcBorders>
              <w:top w:val="nil"/>
              <w:bottom w:val="nil"/>
            </w:tcBorders>
            <w:noWrap/>
            <w:vAlign w:val="center"/>
          </w:tcPr>
          <w:p w14:paraId="23757E70"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印度国家石油公司</w:t>
            </w:r>
          </w:p>
        </w:tc>
        <w:tc>
          <w:tcPr>
            <w:tcW w:w="800" w:type="dxa"/>
            <w:tcBorders>
              <w:top w:val="nil"/>
              <w:bottom w:val="nil"/>
            </w:tcBorders>
            <w:noWrap/>
            <w:vAlign w:val="center"/>
          </w:tcPr>
          <w:p w14:paraId="6D8052F2"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t>22</w:t>
            </w:r>
          </w:p>
        </w:tc>
        <w:tc>
          <w:tcPr>
            <w:tcW w:w="3309" w:type="dxa"/>
            <w:tcBorders>
              <w:top w:val="nil"/>
              <w:bottom w:val="nil"/>
            </w:tcBorders>
            <w:noWrap/>
            <w:vAlign w:val="center"/>
          </w:tcPr>
          <w:p w14:paraId="6EFAF9F5"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日本帝国石油公司</w:t>
            </w:r>
          </w:p>
        </w:tc>
      </w:tr>
      <w:tr w:rsidR="00DF1225" w14:paraId="7E053CCE" w14:textId="77777777">
        <w:trPr>
          <w:trHeight w:val="516"/>
        </w:trPr>
        <w:tc>
          <w:tcPr>
            <w:tcW w:w="761" w:type="dxa"/>
            <w:tcBorders>
              <w:top w:val="nil"/>
              <w:bottom w:val="nil"/>
            </w:tcBorders>
            <w:noWrap/>
            <w:vAlign w:val="center"/>
          </w:tcPr>
          <w:p w14:paraId="10C943A9"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t>15</w:t>
            </w:r>
          </w:p>
        </w:tc>
        <w:tc>
          <w:tcPr>
            <w:tcW w:w="3586" w:type="dxa"/>
            <w:tcBorders>
              <w:top w:val="nil"/>
              <w:bottom w:val="nil"/>
            </w:tcBorders>
            <w:noWrap/>
            <w:vAlign w:val="center"/>
          </w:tcPr>
          <w:p w14:paraId="14355F4C"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挪威国家石油公司</w:t>
            </w:r>
          </w:p>
        </w:tc>
        <w:tc>
          <w:tcPr>
            <w:tcW w:w="800" w:type="dxa"/>
            <w:tcBorders>
              <w:top w:val="nil"/>
              <w:bottom w:val="nil"/>
            </w:tcBorders>
            <w:noWrap/>
            <w:vAlign w:val="center"/>
          </w:tcPr>
          <w:p w14:paraId="5E95A33A"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t>23</w:t>
            </w:r>
          </w:p>
        </w:tc>
        <w:tc>
          <w:tcPr>
            <w:tcW w:w="3309" w:type="dxa"/>
            <w:tcBorders>
              <w:top w:val="nil"/>
              <w:bottom w:val="nil"/>
            </w:tcBorders>
            <w:noWrap/>
            <w:vAlign w:val="center"/>
          </w:tcPr>
          <w:p w14:paraId="2DA3BFE3" w14:textId="77777777" w:rsidR="00DF1225" w:rsidRDefault="00000000">
            <w:pPr>
              <w:widowControl/>
              <w:jc w:val="center"/>
              <w:rPr>
                <w:rFonts w:ascii="Times New Roman" w:eastAsia="仿宋" w:hAnsi="Times New Roman" w:cs="宋体"/>
                <w:color w:val="000000"/>
                <w:kern w:val="0"/>
                <w:sz w:val="24"/>
                <w:szCs w:val="24"/>
              </w:rPr>
            </w:pPr>
            <w:proofErr w:type="spellStart"/>
            <w:r>
              <w:rPr>
                <w:rFonts w:ascii="Times New Roman" w:eastAsia="仿宋" w:hAnsi="Times New Roman" w:hint="eastAsia"/>
                <w:color w:val="000000"/>
                <w:kern w:val="0"/>
                <w:sz w:val="24"/>
                <w:szCs w:val="24"/>
              </w:rPr>
              <w:t>Ovintiv</w:t>
            </w:r>
            <w:proofErr w:type="spellEnd"/>
          </w:p>
        </w:tc>
      </w:tr>
      <w:tr w:rsidR="00DF1225" w14:paraId="23D3A43D" w14:textId="77777777">
        <w:trPr>
          <w:trHeight w:val="516"/>
        </w:trPr>
        <w:tc>
          <w:tcPr>
            <w:tcW w:w="761" w:type="dxa"/>
            <w:tcBorders>
              <w:top w:val="nil"/>
              <w:bottom w:val="nil"/>
            </w:tcBorders>
            <w:noWrap/>
            <w:vAlign w:val="center"/>
          </w:tcPr>
          <w:p w14:paraId="29FAA6C5"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t>16</w:t>
            </w:r>
          </w:p>
        </w:tc>
        <w:tc>
          <w:tcPr>
            <w:tcW w:w="3586" w:type="dxa"/>
            <w:tcBorders>
              <w:top w:val="nil"/>
              <w:bottom w:val="nil"/>
            </w:tcBorders>
            <w:noWrap/>
            <w:vAlign w:val="center"/>
          </w:tcPr>
          <w:p w14:paraId="0FDC97D4"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雷普索尔</w:t>
            </w:r>
          </w:p>
        </w:tc>
        <w:tc>
          <w:tcPr>
            <w:tcW w:w="800" w:type="dxa"/>
            <w:tcBorders>
              <w:top w:val="nil"/>
              <w:bottom w:val="nil"/>
            </w:tcBorders>
            <w:noWrap/>
            <w:vAlign w:val="center"/>
          </w:tcPr>
          <w:p w14:paraId="1CB965B4"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t>24</w:t>
            </w:r>
          </w:p>
        </w:tc>
        <w:tc>
          <w:tcPr>
            <w:tcW w:w="3309" w:type="dxa"/>
            <w:tcBorders>
              <w:top w:val="nil"/>
              <w:bottom w:val="nil"/>
            </w:tcBorders>
            <w:noWrap/>
            <w:vAlign w:val="center"/>
          </w:tcPr>
          <w:p w14:paraId="0F7F5B06"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安</w:t>
            </w:r>
            <w:proofErr w:type="gramStart"/>
            <w:r>
              <w:rPr>
                <w:rFonts w:ascii="Times New Roman" w:eastAsia="仿宋" w:hAnsi="Times New Roman" w:hint="eastAsia"/>
                <w:color w:val="000000"/>
                <w:kern w:val="0"/>
                <w:sz w:val="24"/>
                <w:szCs w:val="24"/>
              </w:rPr>
              <w:t>特罗资源</w:t>
            </w:r>
            <w:proofErr w:type="gramEnd"/>
          </w:p>
        </w:tc>
      </w:tr>
      <w:tr w:rsidR="00DF1225" w14:paraId="12CBECEE" w14:textId="77777777">
        <w:trPr>
          <w:trHeight w:val="516"/>
        </w:trPr>
        <w:tc>
          <w:tcPr>
            <w:tcW w:w="761" w:type="dxa"/>
            <w:tcBorders>
              <w:top w:val="nil"/>
              <w:bottom w:val="nil"/>
            </w:tcBorders>
            <w:noWrap/>
            <w:vAlign w:val="center"/>
          </w:tcPr>
          <w:p w14:paraId="09506E56"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t>17</w:t>
            </w:r>
          </w:p>
        </w:tc>
        <w:tc>
          <w:tcPr>
            <w:tcW w:w="3586" w:type="dxa"/>
            <w:tcBorders>
              <w:top w:val="nil"/>
              <w:bottom w:val="nil"/>
            </w:tcBorders>
            <w:noWrap/>
            <w:vAlign w:val="center"/>
          </w:tcPr>
          <w:p w14:paraId="6DA5993A" w14:textId="77777777" w:rsidR="00DF1225" w:rsidRDefault="00000000">
            <w:pPr>
              <w:widowControl/>
              <w:jc w:val="center"/>
              <w:rPr>
                <w:rFonts w:ascii="Times New Roman" w:eastAsia="仿宋" w:hAnsi="Times New Roman" w:cs="宋体"/>
                <w:color w:val="000000"/>
                <w:kern w:val="0"/>
                <w:sz w:val="24"/>
                <w:szCs w:val="24"/>
              </w:rPr>
            </w:pPr>
            <w:proofErr w:type="gramStart"/>
            <w:r>
              <w:rPr>
                <w:rFonts w:ascii="Times New Roman" w:eastAsia="仿宋" w:hAnsi="Times New Roman" w:hint="eastAsia"/>
                <w:color w:val="000000"/>
                <w:kern w:val="0"/>
                <w:sz w:val="24"/>
                <w:szCs w:val="24"/>
              </w:rPr>
              <w:t>康菲</w:t>
            </w:r>
            <w:proofErr w:type="gramEnd"/>
          </w:p>
        </w:tc>
        <w:tc>
          <w:tcPr>
            <w:tcW w:w="800" w:type="dxa"/>
            <w:tcBorders>
              <w:top w:val="nil"/>
              <w:bottom w:val="nil"/>
            </w:tcBorders>
            <w:noWrap/>
            <w:vAlign w:val="center"/>
          </w:tcPr>
          <w:p w14:paraId="04F44AEC"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t>25</w:t>
            </w:r>
          </w:p>
        </w:tc>
        <w:tc>
          <w:tcPr>
            <w:tcW w:w="3309" w:type="dxa"/>
            <w:tcBorders>
              <w:top w:val="nil"/>
              <w:bottom w:val="nil"/>
            </w:tcBorders>
            <w:noWrap/>
            <w:vAlign w:val="center"/>
          </w:tcPr>
          <w:p w14:paraId="2AEAF529"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奥地利石油天然气集团</w:t>
            </w:r>
          </w:p>
        </w:tc>
      </w:tr>
      <w:tr w:rsidR="00DF1225" w14:paraId="258A2C89" w14:textId="77777777">
        <w:trPr>
          <w:trHeight w:val="516"/>
        </w:trPr>
        <w:tc>
          <w:tcPr>
            <w:tcW w:w="761" w:type="dxa"/>
            <w:tcBorders>
              <w:top w:val="nil"/>
              <w:bottom w:val="nil"/>
            </w:tcBorders>
            <w:noWrap/>
            <w:vAlign w:val="center"/>
          </w:tcPr>
          <w:p w14:paraId="344D216E"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t>18</w:t>
            </w:r>
          </w:p>
        </w:tc>
        <w:tc>
          <w:tcPr>
            <w:tcW w:w="3586" w:type="dxa"/>
            <w:tcBorders>
              <w:top w:val="nil"/>
              <w:bottom w:val="nil"/>
            </w:tcBorders>
            <w:noWrap/>
            <w:vAlign w:val="center"/>
          </w:tcPr>
          <w:p w14:paraId="0E0850EE"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诺瓦泰克</w:t>
            </w:r>
          </w:p>
        </w:tc>
        <w:tc>
          <w:tcPr>
            <w:tcW w:w="800" w:type="dxa"/>
            <w:tcBorders>
              <w:top w:val="nil"/>
              <w:bottom w:val="nil"/>
            </w:tcBorders>
            <w:noWrap/>
            <w:vAlign w:val="center"/>
          </w:tcPr>
          <w:p w14:paraId="70157760"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t>26</w:t>
            </w:r>
          </w:p>
        </w:tc>
        <w:tc>
          <w:tcPr>
            <w:tcW w:w="3309" w:type="dxa"/>
            <w:tcBorders>
              <w:top w:val="nil"/>
              <w:bottom w:val="nil"/>
            </w:tcBorders>
            <w:noWrap/>
            <w:vAlign w:val="center"/>
          </w:tcPr>
          <w:p w14:paraId="02919191"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Range</w:t>
            </w:r>
            <w:r>
              <w:rPr>
                <w:rFonts w:ascii="Times New Roman" w:eastAsia="仿宋" w:hAnsi="Times New Roman" w:hint="eastAsia"/>
                <w:color w:val="000000"/>
                <w:kern w:val="0"/>
                <w:sz w:val="24"/>
                <w:szCs w:val="24"/>
              </w:rPr>
              <w:t>资源</w:t>
            </w:r>
          </w:p>
        </w:tc>
      </w:tr>
      <w:tr w:rsidR="00DF1225" w14:paraId="76DA8CA7" w14:textId="77777777" w:rsidTr="006520E2">
        <w:trPr>
          <w:trHeight w:val="516"/>
        </w:trPr>
        <w:tc>
          <w:tcPr>
            <w:tcW w:w="761" w:type="dxa"/>
            <w:tcBorders>
              <w:top w:val="nil"/>
              <w:bottom w:val="nil"/>
            </w:tcBorders>
            <w:noWrap/>
            <w:vAlign w:val="center"/>
          </w:tcPr>
          <w:p w14:paraId="40DB5AD7"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t>19</w:t>
            </w:r>
          </w:p>
        </w:tc>
        <w:tc>
          <w:tcPr>
            <w:tcW w:w="3586" w:type="dxa"/>
            <w:tcBorders>
              <w:top w:val="nil"/>
              <w:bottom w:val="nil"/>
            </w:tcBorders>
            <w:noWrap/>
            <w:vAlign w:val="center"/>
          </w:tcPr>
          <w:p w14:paraId="3A38B722"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哈萨克斯坦国家石油天然气公司</w:t>
            </w:r>
          </w:p>
        </w:tc>
        <w:tc>
          <w:tcPr>
            <w:tcW w:w="800" w:type="dxa"/>
            <w:tcBorders>
              <w:top w:val="nil"/>
              <w:bottom w:val="nil"/>
            </w:tcBorders>
            <w:noWrap/>
            <w:vAlign w:val="center"/>
          </w:tcPr>
          <w:p w14:paraId="2CD662B4"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t>27</w:t>
            </w:r>
          </w:p>
        </w:tc>
        <w:tc>
          <w:tcPr>
            <w:tcW w:w="3309" w:type="dxa"/>
            <w:tcBorders>
              <w:top w:val="nil"/>
              <w:bottom w:val="nil"/>
            </w:tcBorders>
            <w:noWrap/>
            <w:vAlign w:val="center"/>
          </w:tcPr>
          <w:p w14:paraId="37955494"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泰国国家石油公司</w:t>
            </w:r>
          </w:p>
        </w:tc>
      </w:tr>
      <w:tr w:rsidR="00DF1225" w14:paraId="1826B032" w14:textId="77777777" w:rsidTr="006520E2">
        <w:trPr>
          <w:trHeight w:val="516"/>
        </w:trPr>
        <w:tc>
          <w:tcPr>
            <w:tcW w:w="761" w:type="dxa"/>
            <w:tcBorders>
              <w:top w:val="nil"/>
              <w:bottom w:val="single" w:sz="12" w:space="0" w:color="auto"/>
            </w:tcBorders>
            <w:noWrap/>
            <w:vAlign w:val="center"/>
          </w:tcPr>
          <w:p w14:paraId="3952C92C" w14:textId="77777777" w:rsidR="00DF1225" w:rsidRDefault="00000000">
            <w:pPr>
              <w:widowControl/>
              <w:jc w:val="center"/>
              <w:rPr>
                <w:rFonts w:ascii="Times New Roman" w:eastAsia="仿宋" w:hAnsi="Times New Roman"/>
                <w:color w:val="000000"/>
                <w:kern w:val="0"/>
                <w:sz w:val="24"/>
                <w:szCs w:val="24"/>
              </w:rPr>
            </w:pPr>
            <w:r>
              <w:rPr>
                <w:rFonts w:ascii="Times New Roman" w:eastAsia="仿宋" w:hAnsi="Times New Roman" w:hint="eastAsia"/>
                <w:color w:val="000000"/>
                <w:kern w:val="0"/>
                <w:sz w:val="24"/>
                <w:szCs w:val="24"/>
              </w:rPr>
              <w:t>20</w:t>
            </w:r>
          </w:p>
        </w:tc>
        <w:tc>
          <w:tcPr>
            <w:tcW w:w="3586" w:type="dxa"/>
            <w:tcBorders>
              <w:top w:val="nil"/>
              <w:bottom w:val="single" w:sz="12" w:space="0" w:color="auto"/>
            </w:tcBorders>
            <w:noWrap/>
            <w:vAlign w:val="center"/>
          </w:tcPr>
          <w:p w14:paraId="37FC630B" w14:textId="77777777" w:rsidR="00DF1225" w:rsidRDefault="00000000">
            <w:pPr>
              <w:widowControl/>
              <w:jc w:val="center"/>
              <w:rPr>
                <w:rFonts w:ascii="Times New Roman" w:eastAsia="仿宋" w:hAnsi="Times New Roman" w:cs="宋体"/>
                <w:color w:val="000000"/>
                <w:kern w:val="0"/>
                <w:sz w:val="24"/>
                <w:szCs w:val="24"/>
              </w:rPr>
            </w:pPr>
            <w:r>
              <w:rPr>
                <w:rFonts w:ascii="Times New Roman" w:eastAsia="仿宋" w:hAnsi="Times New Roman" w:hint="eastAsia"/>
                <w:color w:val="000000"/>
                <w:kern w:val="0"/>
                <w:sz w:val="24"/>
                <w:szCs w:val="24"/>
              </w:rPr>
              <w:t>西方石油</w:t>
            </w:r>
          </w:p>
        </w:tc>
        <w:tc>
          <w:tcPr>
            <w:tcW w:w="800" w:type="dxa"/>
            <w:tcBorders>
              <w:top w:val="nil"/>
              <w:bottom w:val="single" w:sz="12" w:space="0" w:color="auto"/>
            </w:tcBorders>
            <w:noWrap/>
            <w:vAlign w:val="center"/>
          </w:tcPr>
          <w:p w14:paraId="68707077" w14:textId="77777777" w:rsidR="00DF1225" w:rsidRDefault="00DF1225">
            <w:pPr>
              <w:widowControl/>
              <w:jc w:val="center"/>
              <w:rPr>
                <w:rFonts w:ascii="Times New Roman" w:eastAsia="仿宋" w:hAnsi="Times New Roman"/>
                <w:color w:val="000000"/>
                <w:kern w:val="0"/>
                <w:sz w:val="24"/>
                <w:szCs w:val="24"/>
              </w:rPr>
            </w:pPr>
          </w:p>
        </w:tc>
        <w:tc>
          <w:tcPr>
            <w:tcW w:w="3309" w:type="dxa"/>
            <w:tcBorders>
              <w:top w:val="nil"/>
              <w:bottom w:val="single" w:sz="12" w:space="0" w:color="auto"/>
            </w:tcBorders>
            <w:noWrap/>
            <w:vAlign w:val="center"/>
          </w:tcPr>
          <w:p w14:paraId="3C976C68" w14:textId="77777777" w:rsidR="00DF1225" w:rsidRDefault="00DF1225">
            <w:pPr>
              <w:widowControl/>
              <w:jc w:val="center"/>
              <w:rPr>
                <w:rFonts w:ascii="Times New Roman" w:eastAsia="仿宋" w:hAnsi="Times New Roman" w:cs="宋体"/>
                <w:color w:val="000000"/>
                <w:kern w:val="0"/>
                <w:sz w:val="24"/>
                <w:szCs w:val="24"/>
              </w:rPr>
            </w:pPr>
          </w:p>
        </w:tc>
      </w:tr>
    </w:tbl>
    <w:p w14:paraId="464DEB0B" w14:textId="77777777" w:rsidR="00DF1225" w:rsidRDefault="00000000">
      <w:pPr>
        <w:spacing w:line="360" w:lineRule="auto"/>
        <w:outlineLvl w:val="0"/>
        <w:rPr>
          <w:rFonts w:ascii="Times New Roman" w:eastAsia="仿宋" w:hAnsi="Times New Roman"/>
          <w:b/>
          <w:bCs/>
          <w:sz w:val="28"/>
          <w:szCs w:val="28"/>
        </w:rPr>
      </w:pPr>
      <w:r>
        <w:rPr>
          <w:rFonts w:ascii="Times New Roman" w:eastAsia="仿宋" w:hAnsi="Times New Roman" w:hint="eastAsia"/>
          <w:b/>
          <w:bCs/>
          <w:sz w:val="28"/>
          <w:szCs w:val="28"/>
        </w:rPr>
        <w:t xml:space="preserve">3. </w:t>
      </w:r>
      <w:r>
        <w:rPr>
          <w:rFonts w:ascii="Times New Roman" w:eastAsia="仿宋" w:hAnsi="Times New Roman" w:hint="eastAsia"/>
          <w:b/>
          <w:bCs/>
          <w:sz w:val="28"/>
          <w:szCs w:val="28"/>
        </w:rPr>
        <w:t>研究结果</w:t>
      </w:r>
      <w:bookmarkEnd w:id="0"/>
      <w:bookmarkEnd w:id="1"/>
    </w:p>
    <w:p w14:paraId="363EEA13" w14:textId="77777777" w:rsidR="00DF1225" w:rsidRDefault="00000000">
      <w:pPr>
        <w:keepLines/>
        <w:spacing w:line="360" w:lineRule="auto"/>
        <w:outlineLvl w:val="1"/>
        <w:rPr>
          <w:rFonts w:ascii="Times New Roman" w:eastAsia="仿宋" w:hAnsi="Times New Roman" w:cstheme="majorBidi"/>
          <w:b/>
          <w:bCs/>
          <w:sz w:val="28"/>
          <w:szCs w:val="28"/>
        </w:rPr>
      </w:pPr>
      <w:bookmarkStart w:id="2" w:name="_Hlk110702201"/>
      <w:r>
        <w:rPr>
          <w:rFonts w:ascii="Times New Roman" w:eastAsia="仿宋" w:hAnsi="Times New Roman" w:cstheme="majorBidi" w:hint="eastAsia"/>
          <w:b/>
          <w:bCs/>
          <w:sz w:val="28"/>
          <w:szCs w:val="28"/>
        </w:rPr>
        <w:t>3.1</w:t>
      </w:r>
      <w:r>
        <w:rPr>
          <w:rFonts w:ascii="Times New Roman" w:eastAsia="仿宋" w:hAnsi="Times New Roman" w:cstheme="majorBidi" w:hint="eastAsia"/>
          <w:b/>
          <w:bCs/>
          <w:sz w:val="28"/>
          <w:szCs w:val="28"/>
        </w:rPr>
        <w:t>“言”：石油公司转型态度评分</w:t>
      </w:r>
    </w:p>
    <w:p w14:paraId="26A6B604" w14:textId="77777777" w:rsidR="00DF1225" w:rsidRDefault="00000000">
      <w:pPr>
        <w:spacing w:line="360" w:lineRule="auto"/>
        <w:ind w:firstLineChars="200" w:firstLine="560"/>
        <w:rPr>
          <w:rFonts w:ascii="Times New Roman" w:eastAsia="仿宋" w:hAnsi="Times New Roman"/>
          <w:kern w:val="0"/>
          <w:sz w:val="28"/>
          <w:szCs w:val="28"/>
        </w:rPr>
      </w:pPr>
      <w:r>
        <w:rPr>
          <w:rFonts w:ascii="Times New Roman" w:eastAsia="仿宋" w:hAnsi="Times New Roman" w:hint="eastAsia"/>
          <w:color w:val="000000" w:themeColor="text1"/>
          <w:sz w:val="28"/>
          <w:szCs w:val="28"/>
        </w:rPr>
        <w:t>“言”即为各石油公司应对气候变化的态度。本报告收集</w:t>
      </w:r>
      <w:r>
        <w:rPr>
          <w:rFonts w:ascii="Times New Roman" w:eastAsia="仿宋" w:hAnsi="Times New Roman" w:hint="eastAsia"/>
          <w:color w:val="000000" w:themeColor="text1"/>
          <w:sz w:val="28"/>
          <w:szCs w:val="28"/>
        </w:rPr>
        <w:t>27</w:t>
      </w:r>
      <w:r>
        <w:rPr>
          <w:rFonts w:ascii="Times New Roman" w:eastAsia="仿宋" w:hAnsi="Times New Roman" w:hint="eastAsia"/>
          <w:color w:val="000000" w:themeColor="text1"/>
          <w:sz w:val="28"/>
          <w:szCs w:val="28"/>
        </w:rPr>
        <w:t>家国际石油公司</w:t>
      </w:r>
      <w:r>
        <w:rPr>
          <w:rFonts w:ascii="Times New Roman" w:eastAsia="仿宋" w:hAnsi="Times New Roman" w:hint="eastAsia"/>
          <w:color w:val="000000" w:themeColor="text1"/>
          <w:sz w:val="28"/>
          <w:szCs w:val="28"/>
        </w:rPr>
        <w:t>2025</w:t>
      </w:r>
      <w:r>
        <w:rPr>
          <w:rFonts w:ascii="Times New Roman" w:eastAsia="仿宋" w:hAnsi="Times New Roman" w:hint="eastAsia"/>
          <w:color w:val="000000" w:themeColor="text1"/>
          <w:sz w:val="28"/>
          <w:szCs w:val="28"/>
        </w:rPr>
        <w:t>年间发布的新闻稿、年报、可持续报告，通过</w:t>
      </w:r>
      <w:r>
        <w:rPr>
          <w:rFonts w:ascii="Times New Roman" w:eastAsia="仿宋" w:hAnsi="Times New Roman" w:hint="eastAsia"/>
          <w:color w:val="000000" w:themeColor="text1"/>
          <w:sz w:val="28"/>
          <w:szCs w:val="28"/>
        </w:rPr>
        <w:t>python</w:t>
      </w:r>
      <w:r>
        <w:rPr>
          <w:rFonts w:ascii="Times New Roman" w:eastAsia="仿宋" w:hAnsi="Times New Roman" w:hint="eastAsia"/>
          <w:color w:val="000000" w:themeColor="text1"/>
          <w:sz w:val="28"/>
          <w:szCs w:val="28"/>
        </w:rPr>
        <w:t>提取与气候变化和低碳投资相关的关键词所在语句，利用情感分析方法判断每一句话的积极与消极情感得分情况，从而确定各石油公司应对气候变化的态度。</w:t>
      </w:r>
      <w:r>
        <w:rPr>
          <w:rFonts w:ascii="Times New Roman" w:eastAsia="仿宋" w:hAnsi="Times New Roman" w:hint="eastAsia"/>
          <w:sz w:val="28"/>
          <w:szCs w:val="28"/>
        </w:rPr>
        <w:t>收集到的国际石油公司</w:t>
      </w:r>
      <w:r>
        <w:rPr>
          <w:rFonts w:ascii="Times New Roman" w:eastAsia="仿宋" w:hAnsi="Times New Roman" w:hint="eastAsia"/>
          <w:sz w:val="28"/>
          <w:szCs w:val="28"/>
        </w:rPr>
        <w:t>2025</w:t>
      </w:r>
      <w:r>
        <w:rPr>
          <w:rFonts w:ascii="Times New Roman" w:eastAsia="仿宋" w:hAnsi="Times New Roman" w:hint="eastAsia"/>
          <w:sz w:val="28"/>
          <w:szCs w:val="28"/>
        </w:rPr>
        <w:t>年间公开发表涉及气候变化的文件</w:t>
      </w:r>
      <w:r>
        <w:rPr>
          <w:rFonts w:ascii="Times New Roman" w:eastAsia="仿宋" w:hAnsi="Times New Roman" w:hint="eastAsia"/>
          <w:sz w:val="28"/>
          <w:szCs w:val="28"/>
        </w:rPr>
        <w:t>1360</w:t>
      </w:r>
      <w:r>
        <w:rPr>
          <w:rFonts w:ascii="Times New Roman" w:eastAsia="仿宋" w:hAnsi="Times New Roman" w:hint="eastAsia"/>
          <w:sz w:val="28"/>
          <w:szCs w:val="28"/>
        </w:rPr>
        <w:t>余份，原始语句</w:t>
      </w:r>
      <w:r>
        <w:rPr>
          <w:rFonts w:ascii="Times New Roman" w:eastAsia="仿宋" w:hAnsi="Times New Roman" w:hint="eastAsia"/>
          <w:sz w:val="28"/>
          <w:szCs w:val="28"/>
        </w:rPr>
        <w:t>262750</w:t>
      </w:r>
      <w:r>
        <w:rPr>
          <w:rFonts w:ascii="Times New Roman" w:eastAsia="仿宋" w:hAnsi="Times New Roman" w:hint="eastAsia"/>
          <w:sz w:val="28"/>
          <w:szCs w:val="28"/>
        </w:rPr>
        <w:t>条。</w:t>
      </w:r>
    </w:p>
    <w:p w14:paraId="64A18C7F" w14:textId="77777777" w:rsidR="00DF1225" w:rsidRDefault="00000000">
      <w:pPr>
        <w:widowControl/>
        <w:tabs>
          <w:tab w:val="left" w:pos="377"/>
        </w:tabs>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为定位石油公司有关低碳转型态度所对应的文本语句，本报告选取“</w:t>
      </w:r>
      <w:r>
        <w:rPr>
          <w:rFonts w:ascii="Times New Roman" w:eastAsia="仿宋" w:hAnsi="Times New Roman" w:hint="eastAsia"/>
          <w:sz w:val="28"/>
          <w:szCs w:val="28"/>
        </w:rPr>
        <w:t>atmosphere</w:t>
      </w:r>
      <w:r>
        <w:rPr>
          <w:rFonts w:ascii="Times New Roman" w:eastAsia="仿宋" w:hAnsi="Times New Roman" w:hint="eastAsia"/>
          <w:sz w:val="28"/>
          <w:szCs w:val="28"/>
        </w:rPr>
        <w:t>”，“</w:t>
      </w:r>
      <w:r>
        <w:rPr>
          <w:rFonts w:ascii="Times New Roman" w:eastAsia="仿宋" w:hAnsi="Times New Roman" w:hint="eastAsia"/>
          <w:sz w:val="28"/>
          <w:szCs w:val="28"/>
        </w:rPr>
        <w:t>carbon</w:t>
      </w:r>
      <w:r>
        <w:rPr>
          <w:rFonts w:ascii="Times New Roman" w:eastAsia="仿宋" w:hAnsi="Times New Roman" w:hint="eastAsia"/>
          <w:sz w:val="28"/>
          <w:szCs w:val="28"/>
        </w:rPr>
        <w:t>”等</w:t>
      </w:r>
      <w:r>
        <w:rPr>
          <w:rFonts w:ascii="Times New Roman" w:eastAsia="仿宋" w:hAnsi="Times New Roman" w:hint="eastAsia"/>
          <w:sz w:val="28"/>
          <w:szCs w:val="28"/>
        </w:rPr>
        <w:t>42</w:t>
      </w:r>
      <w:r>
        <w:rPr>
          <w:rFonts w:ascii="Times New Roman" w:eastAsia="仿宋" w:hAnsi="Times New Roman" w:hint="eastAsia"/>
          <w:sz w:val="28"/>
          <w:szCs w:val="28"/>
        </w:rPr>
        <w:t>个与气候转型相关的单词或词组作为关键词，提取包含这些关键词的所有语句以及紧邻后一语句，对</w:t>
      </w:r>
      <w:r>
        <w:rPr>
          <w:rFonts w:ascii="Times New Roman" w:eastAsia="仿宋" w:hAnsi="Times New Roman" w:hint="eastAsia"/>
          <w:sz w:val="28"/>
          <w:szCs w:val="28"/>
        </w:rPr>
        <w:lastRenderedPageBreak/>
        <w:t>免责声明等无关语句进行去除，最终提取含有以上关键词的语句共</w:t>
      </w:r>
      <w:r>
        <w:rPr>
          <w:rFonts w:ascii="Times New Roman" w:eastAsia="仿宋" w:hAnsi="Times New Roman" w:hint="eastAsia"/>
          <w:sz w:val="28"/>
          <w:szCs w:val="28"/>
        </w:rPr>
        <w:t>20195</w:t>
      </w:r>
      <w:r>
        <w:rPr>
          <w:rFonts w:ascii="Times New Roman" w:eastAsia="仿宋" w:hAnsi="Times New Roman" w:hint="eastAsia"/>
          <w:sz w:val="28"/>
          <w:szCs w:val="28"/>
        </w:rPr>
        <w:t>条。在得到相关语句后对语句中的词语进行词形还原，随后使用石油公司态度度量模型衡量石油公司应对</w:t>
      </w:r>
      <w:r>
        <w:rPr>
          <w:rFonts w:ascii="Times New Roman" w:eastAsia="仿宋" w:hAnsi="Times New Roman" w:hint="eastAsia"/>
          <w:color w:val="000000" w:themeColor="text1"/>
          <w:sz w:val="28"/>
          <w:szCs w:val="28"/>
        </w:rPr>
        <w:t>气候变化或低碳转型</w:t>
      </w:r>
      <w:r>
        <w:rPr>
          <w:rFonts w:ascii="Times New Roman" w:eastAsia="仿宋" w:hAnsi="Times New Roman" w:hint="eastAsia"/>
          <w:sz w:val="28"/>
          <w:szCs w:val="28"/>
        </w:rPr>
        <w:t>的态度。其中，程度副词包含：“极其”、“非常”、“较为”、“稍稍”、“欠、不足”，加上“相反”的语义一共六类英文单词，每一类包含</w:t>
      </w:r>
      <w:r>
        <w:rPr>
          <w:rFonts w:ascii="Times New Roman" w:eastAsia="仿宋" w:hAnsi="Times New Roman" w:hint="eastAsia"/>
          <w:sz w:val="28"/>
          <w:szCs w:val="28"/>
        </w:rPr>
        <w:t>5</w:t>
      </w:r>
      <w:r>
        <w:rPr>
          <w:rFonts w:ascii="Times New Roman" w:eastAsia="仿宋" w:hAnsi="Times New Roman" w:hint="eastAsia"/>
          <w:sz w:val="28"/>
          <w:szCs w:val="28"/>
        </w:rPr>
        <w:t>个及以上表示程度的副词，如“极其”类中包含“</w:t>
      </w:r>
      <w:r>
        <w:rPr>
          <w:rFonts w:ascii="Times New Roman" w:eastAsia="仿宋" w:hAnsi="Times New Roman" w:hint="eastAsia"/>
          <w:sz w:val="28"/>
          <w:szCs w:val="28"/>
        </w:rPr>
        <w:t>absolutely</w:t>
      </w:r>
      <w:r>
        <w:rPr>
          <w:rFonts w:ascii="Times New Roman" w:eastAsia="仿宋" w:hAnsi="Times New Roman" w:hint="eastAsia"/>
          <w:sz w:val="28"/>
          <w:szCs w:val="28"/>
        </w:rPr>
        <w:t>”，“</w:t>
      </w:r>
      <w:r>
        <w:rPr>
          <w:rFonts w:ascii="Times New Roman" w:eastAsia="仿宋" w:hAnsi="Times New Roman" w:hint="eastAsia"/>
          <w:sz w:val="28"/>
          <w:szCs w:val="28"/>
        </w:rPr>
        <w:t>alarmingly</w:t>
      </w:r>
      <w:r>
        <w:rPr>
          <w:rFonts w:ascii="Times New Roman" w:eastAsia="仿宋" w:hAnsi="Times New Roman" w:hint="eastAsia"/>
          <w:sz w:val="28"/>
          <w:szCs w:val="28"/>
        </w:rPr>
        <w:t>”等</w:t>
      </w:r>
      <w:r>
        <w:rPr>
          <w:rFonts w:ascii="Times New Roman" w:eastAsia="仿宋" w:hAnsi="Times New Roman" w:hint="eastAsia"/>
          <w:sz w:val="28"/>
          <w:szCs w:val="28"/>
        </w:rPr>
        <w:t>45</w:t>
      </w:r>
      <w:r>
        <w:rPr>
          <w:rFonts w:ascii="Times New Roman" w:eastAsia="仿宋" w:hAnsi="Times New Roman" w:hint="eastAsia"/>
          <w:sz w:val="28"/>
          <w:szCs w:val="28"/>
        </w:rPr>
        <w:t>个英文词汇。</w:t>
      </w:r>
      <w:r>
        <w:rPr>
          <w:rFonts w:ascii="Times New Roman" w:eastAsia="仿宋" w:hAnsi="Times New Roman" w:hint="eastAsia"/>
          <w:sz w:val="28"/>
          <w:szCs w:val="28"/>
        </w:rPr>
        <w:t xml:space="preserve"> </w:t>
      </w:r>
    </w:p>
    <w:p w14:paraId="2497C432"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文本的情感分为三类情绪，积极、中性与消极情绪，因中性情绪是没有立场的情感分类，本报告只选取积极与消极情绪做分析。本报告选取</w:t>
      </w:r>
      <w:r>
        <w:rPr>
          <w:rFonts w:ascii="Times New Roman" w:eastAsia="仿宋" w:hAnsi="Times New Roman" w:hint="eastAsia"/>
          <w:sz w:val="28"/>
          <w:szCs w:val="28"/>
        </w:rPr>
        <w:t>WordNet</w:t>
      </w:r>
      <w:r>
        <w:rPr>
          <w:rFonts w:ascii="Times New Roman" w:eastAsia="仿宋" w:hAnsi="Times New Roman" w:hint="eastAsia"/>
          <w:sz w:val="28"/>
          <w:szCs w:val="28"/>
        </w:rPr>
        <w:t>、</w:t>
      </w:r>
      <w:proofErr w:type="spellStart"/>
      <w:r>
        <w:rPr>
          <w:rFonts w:ascii="Times New Roman" w:eastAsia="仿宋" w:hAnsi="Times New Roman" w:hint="eastAsia"/>
          <w:sz w:val="28"/>
          <w:szCs w:val="28"/>
        </w:rPr>
        <w:t>Howet</w:t>
      </w:r>
      <w:proofErr w:type="spellEnd"/>
      <w:r>
        <w:rPr>
          <w:rFonts w:ascii="Times New Roman" w:eastAsia="仿宋" w:hAnsi="Times New Roman" w:hint="eastAsia"/>
          <w:sz w:val="28"/>
          <w:szCs w:val="28"/>
        </w:rPr>
        <w:t>以及</w:t>
      </w:r>
      <w:r>
        <w:rPr>
          <w:rFonts w:ascii="Times New Roman" w:eastAsia="仿宋" w:hAnsi="Times New Roman" w:hint="eastAsia"/>
          <w:sz w:val="28"/>
          <w:szCs w:val="28"/>
        </w:rPr>
        <w:t>NTSUSD</w:t>
      </w:r>
      <w:r>
        <w:rPr>
          <w:rFonts w:ascii="Times New Roman" w:eastAsia="仿宋" w:hAnsi="Times New Roman" w:hint="eastAsia"/>
          <w:sz w:val="28"/>
          <w:szCs w:val="28"/>
        </w:rPr>
        <w:t>三类情感词典，结合专业相关人士收集的有关能源方向的积极与消极情感词汇构建分析石油公司文本的情感词典。通过载入情感词典以及各</w:t>
      </w:r>
      <w:proofErr w:type="gramStart"/>
      <w:r>
        <w:rPr>
          <w:rFonts w:ascii="Times New Roman" w:eastAsia="仿宋" w:hAnsi="Times New Roman" w:hint="eastAsia"/>
          <w:sz w:val="28"/>
          <w:szCs w:val="28"/>
        </w:rPr>
        <w:t>类程度</w:t>
      </w:r>
      <w:proofErr w:type="gramEnd"/>
      <w:r>
        <w:rPr>
          <w:rFonts w:ascii="Times New Roman" w:eastAsia="仿宋" w:hAnsi="Times New Roman" w:hint="eastAsia"/>
          <w:sz w:val="28"/>
          <w:szCs w:val="28"/>
        </w:rPr>
        <w:t>副词词典和反转语义的词典，遍历每个</w:t>
      </w:r>
      <w:proofErr w:type="gramStart"/>
      <w:r>
        <w:rPr>
          <w:rFonts w:ascii="Times New Roman" w:eastAsia="仿宋" w:hAnsi="Times New Roman" w:hint="eastAsia"/>
          <w:sz w:val="28"/>
          <w:szCs w:val="28"/>
        </w:rPr>
        <w:t>情感词前的</w:t>
      </w:r>
      <w:proofErr w:type="gramEnd"/>
      <w:r>
        <w:rPr>
          <w:rFonts w:ascii="Times New Roman" w:eastAsia="仿宋" w:hAnsi="Times New Roman" w:hint="eastAsia"/>
          <w:sz w:val="28"/>
          <w:szCs w:val="28"/>
        </w:rPr>
        <w:t>程度副词对每一个情感词进行逐句赋分。过程如图</w:t>
      </w:r>
      <w:r>
        <w:rPr>
          <w:rFonts w:ascii="Times New Roman" w:eastAsia="仿宋" w:hAnsi="Times New Roman" w:hint="eastAsia"/>
          <w:sz w:val="28"/>
          <w:szCs w:val="28"/>
        </w:rPr>
        <w:t>2</w:t>
      </w:r>
      <w:r>
        <w:rPr>
          <w:rFonts w:ascii="Times New Roman" w:eastAsia="仿宋" w:hAnsi="Times New Roman" w:hint="eastAsia"/>
          <w:sz w:val="28"/>
          <w:szCs w:val="28"/>
        </w:rPr>
        <w:t>所示：</w:t>
      </w:r>
    </w:p>
    <w:p w14:paraId="6D4E86C1" w14:textId="77777777" w:rsidR="00DF1225" w:rsidRDefault="00000000">
      <w:pPr>
        <w:jc w:val="center"/>
        <w:rPr>
          <w:rFonts w:ascii="Times New Roman" w:eastAsia="仿宋" w:hAnsi="Times New Roman"/>
          <w:sz w:val="24"/>
          <w:szCs w:val="24"/>
        </w:rPr>
      </w:pPr>
      <w:r>
        <w:rPr>
          <w:rFonts w:ascii="Times New Roman" w:eastAsia="仿宋" w:hAnsi="Times New Roman" w:hint="eastAsia"/>
          <w:noProof/>
        </w:rPr>
        <w:drawing>
          <wp:inline distT="0" distB="0" distL="0" distR="0" wp14:anchorId="79989C04" wp14:editId="6EA62E6D">
            <wp:extent cx="5269230" cy="584835"/>
            <wp:effectExtent l="0" t="0" r="1270" b="0"/>
            <wp:docPr id="5"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9"/>
                    <pic:cNvPicPr>
                      <a:picLocks noChangeAspect="1"/>
                    </pic:cNvPicPr>
                  </pic:nvPicPr>
                  <pic:blipFill>
                    <a:blip r:embed="rId8"/>
                    <a:stretch>
                      <a:fillRect/>
                    </a:stretch>
                  </pic:blipFill>
                  <pic:spPr>
                    <a:xfrm>
                      <a:off x="0" y="0"/>
                      <a:ext cx="5487049" cy="608993"/>
                    </a:xfrm>
                    <a:prstGeom prst="rect">
                      <a:avLst/>
                    </a:prstGeom>
                  </pic:spPr>
                </pic:pic>
              </a:graphicData>
            </a:graphic>
          </wp:inline>
        </w:drawing>
      </w:r>
      <w:r>
        <w:rPr>
          <w:rFonts w:ascii="Times New Roman" w:eastAsia="仿宋" w:hAnsi="Times New Roman" w:hint="eastAsia"/>
        </w:rPr>
        <w:br/>
      </w:r>
    </w:p>
    <w:p w14:paraId="78949D16" w14:textId="77777777" w:rsidR="00DF1225" w:rsidRDefault="00000000">
      <w:pPr>
        <w:spacing w:afterLines="100" w:after="312" w:line="360" w:lineRule="auto"/>
        <w:jc w:val="center"/>
        <w:rPr>
          <w:rFonts w:ascii="Times New Roman" w:eastAsia="仿宋" w:hAnsi="Times New Roman"/>
          <w:b/>
          <w:bCs/>
          <w:sz w:val="24"/>
          <w:szCs w:val="24"/>
        </w:rPr>
      </w:pPr>
      <w:r>
        <w:rPr>
          <w:rFonts w:ascii="Times New Roman" w:eastAsia="仿宋" w:hAnsi="Times New Roman" w:hint="eastAsia"/>
          <w:b/>
          <w:bCs/>
          <w:sz w:val="24"/>
          <w:szCs w:val="24"/>
        </w:rPr>
        <w:t>图</w:t>
      </w:r>
      <w:r>
        <w:rPr>
          <w:rFonts w:ascii="Times New Roman" w:eastAsia="仿宋" w:hAnsi="Times New Roman" w:hint="eastAsia"/>
          <w:b/>
          <w:bCs/>
          <w:sz w:val="24"/>
          <w:szCs w:val="24"/>
        </w:rPr>
        <w:t>2</w:t>
      </w:r>
      <w:r>
        <w:rPr>
          <w:rFonts w:ascii="Times New Roman" w:eastAsia="仿宋" w:hAnsi="Times New Roman" w:hint="eastAsia"/>
          <w:b/>
          <w:bCs/>
          <w:sz w:val="24"/>
          <w:szCs w:val="24"/>
        </w:rPr>
        <w:t>基于词典的文本情感分析步骤</w:t>
      </w:r>
    </w:p>
    <w:p w14:paraId="785B424F" w14:textId="77777777" w:rsidR="00DF1225" w:rsidRDefault="00000000">
      <w:pPr>
        <w:widowControl/>
        <w:tabs>
          <w:tab w:val="left" w:pos="377"/>
        </w:tabs>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本报告使用的情感词典分别计算积极情绪和消极情绪得分。首先使用</w:t>
      </w:r>
      <w:r>
        <w:rPr>
          <w:rFonts w:ascii="Times New Roman" w:eastAsia="仿宋" w:hAnsi="Times New Roman" w:hint="eastAsia"/>
          <w:sz w:val="28"/>
          <w:szCs w:val="28"/>
        </w:rPr>
        <w:t>1%</w:t>
      </w:r>
      <w:r>
        <w:rPr>
          <w:rFonts w:ascii="Times New Roman" w:eastAsia="仿宋" w:hAnsi="Times New Roman" w:hint="eastAsia"/>
          <w:sz w:val="28"/>
          <w:szCs w:val="28"/>
        </w:rPr>
        <w:t>、</w:t>
      </w:r>
      <w:r>
        <w:rPr>
          <w:rFonts w:ascii="Times New Roman" w:eastAsia="仿宋" w:hAnsi="Times New Roman" w:hint="eastAsia"/>
          <w:sz w:val="28"/>
          <w:szCs w:val="28"/>
        </w:rPr>
        <w:t>99%</w:t>
      </w:r>
      <w:r>
        <w:rPr>
          <w:rFonts w:ascii="Times New Roman" w:eastAsia="仿宋" w:hAnsi="Times New Roman" w:hint="eastAsia"/>
          <w:sz w:val="28"/>
          <w:szCs w:val="28"/>
        </w:rPr>
        <w:t>缩</w:t>
      </w:r>
      <w:proofErr w:type="gramStart"/>
      <w:r>
        <w:rPr>
          <w:rFonts w:ascii="Times New Roman" w:eastAsia="仿宋" w:hAnsi="Times New Roman" w:hint="eastAsia"/>
          <w:sz w:val="28"/>
          <w:szCs w:val="28"/>
        </w:rPr>
        <w:t>尾方法</w:t>
      </w:r>
      <w:proofErr w:type="gramEnd"/>
      <w:r>
        <w:rPr>
          <w:rFonts w:ascii="Times New Roman" w:eastAsia="仿宋" w:hAnsi="Times New Roman" w:hint="eastAsia"/>
          <w:sz w:val="28"/>
          <w:szCs w:val="28"/>
        </w:rPr>
        <w:t>对单句的积极和消极情绪得分之差值为极端值的句子进行二次剔除以规避极端值的影响。随后根据保留后的每句话的积极情绪和消极情绪得分计算得出石油公司的积极情绪倾向平均分，具体计算过程如公式（</w:t>
      </w:r>
      <w:r>
        <w:rPr>
          <w:rFonts w:ascii="Times New Roman" w:eastAsia="仿宋" w:hAnsi="Times New Roman" w:hint="eastAsia"/>
          <w:sz w:val="28"/>
          <w:szCs w:val="28"/>
        </w:rPr>
        <w:t>1</w:t>
      </w:r>
      <w:r>
        <w:rPr>
          <w:rFonts w:ascii="Times New Roman" w:eastAsia="仿宋" w:hAnsi="Times New Roman" w:hint="eastAsia"/>
          <w:sz w:val="28"/>
          <w:szCs w:val="28"/>
        </w:rPr>
        <w:t>）所示。</w:t>
      </w: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63"/>
        <w:gridCol w:w="1089"/>
      </w:tblGrid>
      <w:tr w:rsidR="00DF1225" w14:paraId="49E54C3E" w14:textId="77777777">
        <w:trPr>
          <w:jc w:val="center"/>
        </w:trPr>
        <w:tc>
          <w:tcPr>
            <w:tcW w:w="6763" w:type="dxa"/>
            <w:vAlign w:val="center"/>
          </w:tcPr>
          <w:p w14:paraId="600BD180" w14:textId="77777777" w:rsidR="00DF1225" w:rsidRDefault="00000000">
            <w:pPr>
              <w:widowControl/>
              <w:tabs>
                <w:tab w:val="left" w:pos="377"/>
              </w:tabs>
              <w:spacing w:line="300" w:lineRule="auto"/>
              <w:jc w:val="center"/>
              <w:rPr>
                <w:rFonts w:ascii="Times New Roman" w:eastAsia="仿宋" w:hAnsi="Times New Roman"/>
                <w:i/>
                <w:iCs/>
                <w:sz w:val="24"/>
                <w:szCs w:val="24"/>
              </w:rPr>
            </w:pPr>
            <m:oMathPara>
              <m:oMath>
                <m:r>
                  <w:rPr>
                    <w:rFonts w:ascii="DejaVu Math TeX Gyre" w:eastAsia="仿宋" w:hAnsi="DejaVu Math TeX Gyre"/>
                    <w:sz w:val="24"/>
                    <w:szCs w:val="24"/>
                  </w:rPr>
                  <w:lastRenderedPageBreak/>
                  <m:t>score=</m:t>
                </m:r>
                <m:f>
                  <m:fPr>
                    <m:ctrlPr>
                      <w:rPr>
                        <w:rFonts w:ascii="DejaVu Math TeX Gyre" w:eastAsia="仿宋" w:hAnsi="DejaVu Math TeX Gyre"/>
                        <w:i/>
                        <w:iCs/>
                        <w:sz w:val="24"/>
                        <w:szCs w:val="24"/>
                      </w:rPr>
                    </m:ctrlPr>
                  </m:fPr>
                  <m:num>
                    <m:nary>
                      <m:naryPr>
                        <m:chr m:val="∑"/>
                        <m:ctrlPr>
                          <w:rPr>
                            <w:rFonts w:ascii="DejaVu Math TeX Gyre" w:eastAsia="仿宋" w:hAnsi="DejaVu Math TeX Gyre"/>
                            <w:i/>
                            <w:iCs/>
                            <w:sz w:val="24"/>
                            <w:szCs w:val="24"/>
                          </w:rPr>
                        </m:ctrlPr>
                      </m:naryPr>
                      <m:sub>
                        <m:r>
                          <w:rPr>
                            <w:rFonts w:ascii="DejaVu Math TeX Gyre" w:eastAsia="仿宋" w:hAnsi="DejaVu Math TeX Gyre"/>
                            <w:sz w:val="24"/>
                            <w:szCs w:val="24"/>
                          </w:rPr>
                          <m:t>i=1</m:t>
                        </m:r>
                      </m:sub>
                      <m:sup>
                        <m:r>
                          <w:rPr>
                            <w:rFonts w:ascii="DejaVu Math TeX Gyre" w:eastAsia="仿宋" w:hAnsi="DejaVu Math TeX Gyre"/>
                            <w:sz w:val="24"/>
                            <w:szCs w:val="24"/>
                          </w:rPr>
                          <m:t>n</m:t>
                        </m:r>
                      </m:sup>
                      <m:e>
                        <m:r>
                          <w:rPr>
                            <w:rFonts w:ascii="DejaVu Math TeX Gyre" w:eastAsia="仿宋" w:hAnsi="DejaVu Math TeX Gyre"/>
                            <w:sz w:val="24"/>
                            <w:szCs w:val="24"/>
                          </w:rPr>
                          <m:t>po</m:t>
                        </m:r>
                        <m:sSub>
                          <m:sSubPr>
                            <m:ctrlPr>
                              <w:rPr>
                                <w:rFonts w:ascii="DejaVu Math TeX Gyre" w:eastAsia="仿宋" w:hAnsi="DejaVu Math TeX Gyre"/>
                                <w:i/>
                                <w:iCs/>
                                <w:sz w:val="24"/>
                                <w:szCs w:val="24"/>
                              </w:rPr>
                            </m:ctrlPr>
                          </m:sSubPr>
                          <m:e>
                            <m:r>
                              <w:rPr>
                                <w:rFonts w:ascii="DejaVu Math TeX Gyre" w:eastAsia="仿宋" w:hAnsi="DejaVu Math TeX Gyre"/>
                                <w:sz w:val="24"/>
                                <w:szCs w:val="24"/>
                              </w:rPr>
                              <m:t>s</m:t>
                            </m:r>
                          </m:e>
                          <m:sub>
                            <m:r>
                              <w:rPr>
                                <w:rFonts w:ascii="DejaVu Math TeX Gyre" w:eastAsia="仿宋" w:hAnsi="DejaVu Math TeX Gyre"/>
                                <w:sz w:val="24"/>
                                <w:szCs w:val="24"/>
                              </w:rPr>
                              <m:t>i</m:t>
                            </m:r>
                          </m:sub>
                        </m:sSub>
                      </m:e>
                    </m:nary>
                    <m:r>
                      <w:rPr>
                        <w:rFonts w:ascii="DejaVu Math TeX Gyre" w:eastAsia="仿宋" w:hAnsi="DejaVu Math TeX Gyre"/>
                        <w:sz w:val="24"/>
                        <w:szCs w:val="24"/>
                      </w:rPr>
                      <m:t>-</m:t>
                    </m:r>
                    <m:nary>
                      <m:naryPr>
                        <m:chr m:val="∑"/>
                        <m:ctrlPr>
                          <w:rPr>
                            <w:rFonts w:ascii="DejaVu Math TeX Gyre" w:eastAsia="仿宋" w:hAnsi="DejaVu Math TeX Gyre"/>
                            <w:i/>
                            <w:iCs/>
                            <w:sz w:val="24"/>
                            <w:szCs w:val="24"/>
                          </w:rPr>
                        </m:ctrlPr>
                      </m:naryPr>
                      <m:sub>
                        <m:r>
                          <w:rPr>
                            <w:rFonts w:ascii="DejaVu Math TeX Gyre" w:eastAsia="仿宋" w:hAnsi="DejaVu Math TeX Gyre"/>
                            <w:sz w:val="24"/>
                            <w:szCs w:val="24"/>
                          </w:rPr>
                          <m:t>i=1</m:t>
                        </m:r>
                      </m:sub>
                      <m:sup>
                        <m:r>
                          <w:rPr>
                            <w:rFonts w:ascii="DejaVu Math TeX Gyre" w:eastAsia="仿宋" w:hAnsi="DejaVu Math TeX Gyre"/>
                            <w:sz w:val="24"/>
                            <w:szCs w:val="24"/>
                          </w:rPr>
                          <m:t>n</m:t>
                        </m:r>
                      </m:sup>
                      <m:e>
                        <m:r>
                          <w:rPr>
                            <w:rFonts w:ascii="DejaVu Math TeX Gyre" w:eastAsia="仿宋" w:hAnsi="DejaVu Math TeX Gyre"/>
                            <w:sz w:val="24"/>
                            <w:szCs w:val="24"/>
                          </w:rPr>
                          <m:t>ne</m:t>
                        </m:r>
                        <m:sSub>
                          <m:sSubPr>
                            <m:ctrlPr>
                              <w:rPr>
                                <w:rFonts w:ascii="DejaVu Math TeX Gyre" w:eastAsia="仿宋" w:hAnsi="DejaVu Math TeX Gyre"/>
                                <w:i/>
                                <w:iCs/>
                                <w:sz w:val="24"/>
                                <w:szCs w:val="24"/>
                              </w:rPr>
                            </m:ctrlPr>
                          </m:sSubPr>
                          <m:e>
                            <m:r>
                              <w:rPr>
                                <w:rFonts w:ascii="DejaVu Math TeX Gyre" w:eastAsia="仿宋" w:hAnsi="DejaVu Math TeX Gyre"/>
                                <w:sz w:val="24"/>
                                <w:szCs w:val="24"/>
                              </w:rPr>
                              <m:t>g</m:t>
                            </m:r>
                          </m:e>
                          <m:sub>
                            <m:r>
                              <w:rPr>
                                <w:rFonts w:ascii="DejaVu Math TeX Gyre" w:eastAsia="仿宋" w:hAnsi="DejaVu Math TeX Gyre"/>
                                <w:sz w:val="24"/>
                                <w:szCs w:val="24"/>
                              </w:rPr>
                              <m:t>i</m:t>
                            </m:r>
                          </m:sub>
                        </m:sSub>
                      </m:e>
                    </m:nary>
                  </m:num>
                  <m:den>
                    <m:r>
                      <w:rPr>
                        <w:rFonts w:ascii="DejaVu Math TeX Gyre" w:eastAsia="仿宋" w:hAnsi="DejaVu Math TeX Gyre"/>
                        <w:sz w:val="24"/>
                        <w:szCs w:val="24"/>
                      </w:rPr>
                      <m:t>n</m:t>
                    </m:r>
                  </m:den>
                </m:f>
              </m:oMath>
            </m:oMathPara>
          </w:p>
        </w:tc>
        <w:tc>
          <w:tcPr>
            <w:tcW w:w="1089" w:type="dxa"/>
            <w:vAlign w:val="center"/>
          </w:tcPr>
          <w:p w14:paraId="4070FEA1" w14:textId="77777777" w:rsidR="00DF1225" w:rsidRDefault="00000000">
            <w:pPr>
              <w:widowControl/>
              <w:tabs>
                <w:tab w:val="left" w:pos="377"/>
              </w:tabs>
              <w:spacing w:line="300" w:lineRule="auto"/>
              <w:rPr>
                <w:rFonts w:ascii="Times New Roman" w:eastAsia="仿宋" w:hAnsi="Times New Roman"/>
                <w:sz w:val="28"/>
                <w:szCs w:val="28"/>
              </w:rPr>
            </w:pPr>
            <w:r>
              <w:rPr>
                <w:rFonts w:ascii="Times New Roman" w:eastAsia="仿宋" w:hAnsi="Times New Roman" w:hint="eastAsia"/>
                <w:sz w:val="28"/>
                <w:szCs w:val="28"/>
              </w:rPr>
              <w:t>（</w:t>
            </w:r>
            <w:r>
              <w:rPr>
                <w:rFonts w:ascii="Times New Roman" w:eastAsia="仿宋" w:hAnsi="Times New Roman" w:hint="eastAsia"/>
                <w:sz w:val="28"/>
                <w:szCs w:val="28"/>
              </w:rPr>
              <w:t>1</w:t>
            </w:r>
            <w:r>
              <w:rPr>
                <w:rFonts w:ascii="Times New Roman" w:eastAsia="仿宋" w:hAnsi="Times New Roman" w:hint="eastAsia"/>
                <w:sz w:val="28"/>
                <w:szCs w:val="28"/>
              </w:rPr>
              <w:t>）</w:t>
            </w:r>
          </w:p>
        </w:tc>
      </w:tr>
    </w:tbl>
    <w:p w14:paraId="7CAAB39F"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式中，</w:t>
      </w:r>
      <w:r>
        <w:rPr>
          <w:rFonts w:ascii="Times New Roman" w:eastAsia="仿宋" w:hAnsi="Times New Roman" w:hint="eastAsia"/>
          <w:sz w:val="28"/>
          <w:szCs w:val="28"/>
        </w:rPr>
        <w:t>n</w:t>
      </w:r>
      <w:r>
        <w:rPr>
          <w:rFonts w:ascii="Times New Roman" w:eastAsia="仿宋" w:hAnsi="Times New Roman" w:hint="eastAsia"/>
          <w:sz w:val="28"/>
          <w:szCs w:val="28"/>
        </w:rPr>
        <w:t>为经过缩</w:t>
      </w:r>
      <w:proofErr w:type="gramStart"/>
      <w:r>
        <w:rPr>
          <w:rFonts w:ascii="Times New Roman" w:eastAsia="仿宋" w:hAnsi="Times New Roman" w:hint="eastAsia"/>
          <w:sz w:val="28"/>
          <w:szCs w:val="28"/>
        </w:rPr>
        <w:t>尾处理</w:t>
      </w:r>
      <w:proofErr w:type="gramEnd"/>
      <w:r>
        <w:rPr>
          <w:rFonts w:ascii="Times New Roman" w:eastAsia="仿宋" w:hAnsi="Times New Roman" w:hint="eastAsia"/>
          <w:sz w:val="28"/>
          <w:szCs w:val="28"/>
        </w:rPr>
        <w:t>后的总语句数；</w:t>
      </w:r>
      <m:oMath>
        <m:sSub>
          <m:sSubPr>
            <m:ctrlPr>
              <w:rPr>
                <w:rFonts w:ascii="Cambria Math" w:eastAsia="仿宋" w:hAnsi="Cambria Math"/>
                <w:sz w:val="28"/>
                <w:szCs w:val="28"/>
              </w:rPr>
            </m:ctrlPr>
          </m:sSubPr>
          <m:e>
            <m:r>
              <w:rPr>
                <w:rFonts w:ascii="Cambria Math" w:eastAsia="仿宋" w:hAnsi="Cambria Math"/>
                <w:sz w:val="28"/>
                <w:szCs w:val="28"/>
              </w:rPr>
              <m:t>pos</m:t>
            </m:r>
          </m:e>
          <m:sub>
            <m:r>
              <w:rPr>
                <w:rFonts w:ascii="Cambria Math" w:eastAsia="仿宋" w:hAnsi="Cambria Math"/>
                <w:sz w:val="28"/>
                <w:szCs w:val="28"/>
              </w:rPr>
              <m:t>i</m:t>
            </m:r>
          </m:sub>
        </m:sSub>
      </m:oMath>
      <w:r>
        <w:rPr>
          <w:rFonts w:ascii="Times New Roman" w:eastAsia="仿宋" w:hAnsi="Times New Roman" w:hint="eastAsia"/>
          <w:sz w:val="28"/>
          <w:szCs w:val="28"/>
        </w:rPr>
        <w:t>为第</w:t>
      </w:r>
      <w:proofErr w:type="spellStart"/>
      <w:r>
        <w:rPr>
          <w:rFonts w:ascii="Times New Roman" w:eastAsia="仿宋" w:hAnsi="Times New Roman" w:hint="eastAsia"/>
          <w:sz w:val="28"/>
          <w:szCs w:val="28"/>
        </w:rPr>
        <w:t>i</w:t>
      </w:r>
      <w:proofErr w:type="spellEnd"/>
      <w:r>
        <w:rPr>
          <w:rFonts w:ascii="Times New Roman" w:eastAsia="仿宋" w:hAnsi="Times New Roman" w:hint="eastAsia"/>
          <w:sz w:val="28"/>
          <w:szCs w:val="28"/>
        </w:rPr>
        <w:t>条语句的积极得分值；</w:t>
      </w:r>
      <m:oMath>
        <m:sSub>
          <m:sSubPr>
            <m:ctrlPr>
              <w:rPr>
                <w:rFonts w:ascii="Cambria Math" w:eastAsia="仿宋" w:hAnsi="Cambria Math"/>
                <w:sz w:val="28"/>
                <w:szCs w:val="28"/>
              </w:rPr>
            </m:ctrlPr>
          </m:sSubPr>
          <m:e>
            <m:r>
              <w:rPr>
                <w:rFonts w:ascii="Cambria Math" w:eastAsia="仿宋" w:hAnsi="Cambria Math"/>
                <w:sz w:val="28"/>
                <w:szCs w:val="28"/>
              </w:rPr>
              <m:t>neg</m:t>
            </m:r>
          </m:e>
          <m:sub>
            <m:r>
              <w:rPr>
                <w:rFonts w:ascii="Cambria Math" w:eastAsia="仿宋" w:hAnsi="Cambria Math"/>
                <w:sz w:val="28"/>
                <w:szCs w:val="28"/>
              </w:rPr>
              <m:t>i</m:t>
            </m:r>
          </m:sub>
        </m:sSub>
      </m:oMath>
      <w:r>
        <w:rPr>
          <w:rFonts w:ascii="Times New Roman" w:eastAsia="仿宋" w:hAnsi="Times New Roman" w:hint="eastAsia"/>
          <w:sz w:val="28"/>
          <w:szCs w:val="28"/>
        </w:rPr>
        <w:t>为第</w:t>
      </w:r>
      <w:proofErr w:type="spellStart"/>
      <w:r>
        <w:rPr>
          <w:rFonts w:ascii="Times New Roman" w:eastAsia="仿宋" w:hAnsi="Times New Roman" w:hint="eastAsia"/>
          <w:sz w:val="28"/>
          <w:szCs w:val="28"/>
        </w:rPr>
        <w:t>i</w:t>
      </w:r>
      <w:proofErr w:type="spellEnd"/>
      <w:r>
        <w:rPr>
          <w:rFonts w:ascii="Times New Roman" w:eastAsia="仿宋" w:hAnsi="Times New Roman" w:hint="eastAsia"/>
          <w:sz w:val="28"/>
          <w:szCs w:val="28"/>
        </w:rPr>
        <w:t>条语句的消极得分值；</w:t>
      </w:r>
      <w:r>
        <w:rPr>
          <w:rFonts w:ascii="Times New Roman" w:eastAsia="仿宋" w:hAnsi="Times New Roman" w:hint="eastAsia"/>
          <w:sz w:val="28"/>
          <w:szCs w:val="28"/>
        </w:rPr>
        <w:t>score</w:t>
      </w:r>
      <w:r>
        <w:rPr>
          <w:rFonts w:ascii="Times New Roman" w:eastAsia="仿宋" w:hAnsi="Times New Roman" w:hint="eastAsia"/>
          <w:sz w:val="28"/>
          <w:szCs w:val="28"/>
        </w:rPr>
        <w:t>为积极情绪倾向平均分。</w:t>
      </w:r>
    </w:p>
    <w:p w14:paraId="3BB9D771"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为方便后续综合评价计算，对各公司的积极情绪倾向平均分进行统一放大，使评分第一名公司的转型态度评分为</w:t>
      </w:r>
      <w:r>
        <w:rPr>
          <w:rFonts w:ascii="Times New Roman" w:eastAsia="仿宋" w:hAnsi="Times New Roman" w:hint="eastAsia"/>
          <w:sz w:val="28"/>
          <w:szCs w:val="28"/>
        </w:rPr>
        <w:t>100</w:t>
      </w:r>
      <w:r>
        <w:rPr>
          <w:rFonts w:ascii="Times New Roman" w:eastAsia="仿宋" w:hAnsi="Times New Roman" w:hint="eastAsia"/>
          <w:sz w:val="28"/>
          <w:szCs w:val="28"/>
        </w:rPr>
        <w:t>分，其他公司得分进行非线性放大。</w:t>
      </w: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63"/>
        <w:gridCol w:w="1089"/>
      </w:tblGrid>
      <w:tr w:rsidR="00DF1225" w14:paraId="2671C0E5" w14:textId="77777777">
        <w:trPr>
          <w:jc w:val="center"/>
        </w:trPr>
        <w:tc>
          <w:tcPr>
            <w:tcW w:w="6763" w:type="dxa"/>
            <w:vAlign w:val="center"/>
          </w:tcPr>
          <w:p w14:paraId="638AED7B" w14:textId="77777777" w:rsidR="00DF1225" w:rsidRDefault="00000000">
            <w:pPr>
              <w:widowControl/>
              <w:tabs>
                <w:tab w:val="left" w:pos="377"/>
              </w:tabs>
              <w:spacing w:line="300" w:lineRule="auto"/>
              <w:jc w:val="center"/>
              <w:rPr>
                <w:rFonts w:ascii="Times New Roman" w:eastAsia="仿宋" w:hAnsi="Times New Roman"/>
                <w:i/>
                <w:iCs/>
                <w:sz w:val="24"/>
                <w:szCs w:val="24"/>
              </w:rPr>
            </w:pPr>
            <m:oMathPara>
              <m:oMath>
                <m:sSub>
                  <m:sSubPr>
                    <m:ctrlPr>
                      <w:rPr>
                        <w:rFonts w:ascii="DejaVu Math TeX Gyre" w:eastAsia="仿宋" w:hAnsi="DejaVu Math TeX Gyre"/>
                        <w:i/>
                        <w:sz w:val="24"/>
                        <w:szCs w:val="24"/>
                      </w:rPr>
                    </m:ctrlPr>
                  </m:sSubPr>
                  <m:e>
                    <m:r>
                      <w:rPr>
                        <w:rFonts w:ascii="DejaVu Math TeX Gyre" w:eastAsia="仿宋" w:hAnsi="DejaVu Math TeX Gyre"/>
                        <w:sz w:val="24"/>
                        <w:szCs w:val="24"/>
                      </w:rPr>
                      <m:t>Speak_score</m:t>
                    </m:r>
                  </m:e>
                  <m:sub>
                    <m:r>
                      <w:rPr>
                        <w:rFonts w:ascii="DejaVu Math TeX Gyre" w:eastAsia="仿宋" w:hAnsi="DejaVu Math TeX Gyre"/>
                        <w:sz w:val="24"/>
                        <w:szCs w:val="24"/>
                      </w:rPr>
                      <m:t>i</m:t>
                    </m:r>
                  </m:sub>
                </m:sSub>
                <m:r>
                  <w:rPr>
                    <w:rFonts w:ascii="DejaVu Math TeX Gyre" w:eastAsia="仿宋" w:hAnsi="DejaVu Math TeX Gyre"/>
                    <w:sz w:val="24"/>
                    <w:szCs w:val="24"/>
                  </w:rPr>
                  <m:t>=100×</m:t>
                </m:r>
                <m:rad>
                  <m:radPr>
                    <m:degHide m:val="1"/>
                    <m:ctrlPr>
                      <w:rPr>
                        <w:rFonts w:ascii="DejaVu Math TeX Gyre" w:eastAsia="仿宋" w:hAnsi="DejaVu Math TeX Gyre"/>
                        <w:i/>
                        <w:sz w:val="24"/>
                        <w:szCs w:val="24"/>
                      </w:rPr>
                    </m:ctrlPr>
                  </m:radPr>
                  <m:deg/>
                  <m:e>
                    <m:f>
                      <m:fPr>
                        <m:ctrlPr>
                          <w:rPr>
                            <w:rFonts w:ascii="DejaVu Math TeX Gyre" w:eastAsia="仿宋" w:hAnsi="DejaVu Math TeX Gyre"/>
                            <w:i/>
                            <w:sz w:val="24"/>
                            <w:szCs w:val="24"/>
                          </w:rPr>
                        </m:ctrlPr>
                      </m:fPr>
                      <m:num>
                        <m:sSub>
                          <m:sSubPr>
                            <m:ctrlPr>
                              <w:rPr>
                                <w:rFonts w:ascii="DejaVu Math TeX Gyre" w:eastAsia="仿宋" w:hAnsi="DejaVu Math TeX Gyre"/>
                                <w:i/>
                                <w:sz w:val="24"/>
                                <w:szCs w:val="24"/>
                              </w:rPr>
                            </m:ctrlPr>
                          </m:sSubPr>
                          <m:e>
                            <m:r>
                              <w:rPr>
                                <w:rFonts w:ascii="DejaVu Math TeX Gyre" w:eastAsia="仿宋" w:hAnsi="DejaVu Math TeX Gyre"/>
                                <w:sz w:val="24"/>
                                <w:szCs w:val="24"/>
                              </w:rPr>
                              <m:t>score</m:t>
                            </m:r>
                          </m:e>
                          <m:sub>
                            <m:r>
                              <w:rPr>
                                <w:rFonts w:ascii="DejaVu Math TeX Gyre" w:eastAsia="仿宋" w:hAnsi="DejaVu Math TeX Gyre"/>
                                <w:sz w:val="24"/>
                                <w:szCs w:val="24"/>
                              </w:rPr>
                              <m:t>i</m:t>
                            </m:r>
                          </m:sub>
                        </m:sSub>
                      </m:num>
                      <m:den>
                        <m:func>
                          <m:funcPr>
                            <m:ctrlPr>
                              <w:rPr>
                                <w:rFonts w:ascii="DejaVu Math TeX Gyre" w:eastAsia="仿宋" w:hAnsi="DejaVu Math TeX Gyre"/>
                                <w:i/>
                                <w:sz w:val="24"/>
                                <w:szCs w:val="24"/>
                              </w:rPr>
                            </m:ctrlPr>
                          </m:funcPr>
                          <m:fName>
                            <m:r>
                              <w:rPr>
                                <w:rFonts w:ascii="DejaVu Math TeX Gyre" w:eastAsia="仿宋" w:hAnsi="DejaVu Math TeX Gyre"/>
                                <w:sz w:val="24"/>
                                <w:szCs w:val="24"/>
                              </w:rPr>
                              <m:t>max</m:t>
                            </m:r>
                          </m:fName>
                          <m:e>
                            <m:d>
                              <m:dPr>
                                <m:ctrlPr>
                                  <w:rPr>
                                    <w:rFonts w:ascii="DejaVu Math TeX Gyre" w:eastAsia="仿宋" w:hAnsi="DejaVu Math TeX Gyre"/>
                                    <w:i/>
                                    <w:sz w:val="24"/>
                                    <w:szCs w:val="24"/>
                                  </w:rPr>
                                </m:ctrlPr>
                              </m:dPr>
                              <m:e>
                                <m:r>
                                  <w:rPr>
                                    <w:rFonts w:ascii="DejaVu Math TeX Gyre" w:eastAsia="仿宋" w:hAnsi="DejaVu Math TeX Gyre"/>
                                    <w:sz w:val="24"/>
                                    <w:szCs w:val="24"/>
                                  </w:rPr>
                                  <m:t>score</m:t>
                                </m:r>
                              </m:e>
                            </m:d>
                          </m:e>
                        </m:func>
                      </m:den>
                    </m:f>
                  </m:e>
                </m:rad>
              </m:oMath>
            </m:oMathPara>
          </w:p>
        </w:tc>
        <w:tc>
          <w:tcPr>
            <w:tcW w:w="1089" w:type="dxa"/>
            <w:vAlign w:val="center"/>
          </w:tcPr>
          <w:p w14:paraId="63C562F2" w14:textId="77777777" w:rsidR="00DF1225" w:rsidRDefault="00000000">
            <w:pPr>
              <w:widowControl/>
              <w:tabs>
                <w:tab w:val="left" w:pos="377"/>
              </w:tabs>
              <w:spacing w:line="300" w:lineRule="auto"/>
              <w:rPr>
                <w:rFonts w:ascii="Times New Roman" w:eastAsia="仿宋" w:hAnsi="Times New Roman"/>
                <w:sz w:val="28"/>
                <w:szCs w:val="28"/>
              </w:rPr>
            </w:pPr>
            <w:r>
              <w:rPr>
                <w:rFonts w:ascii="Times New Roman" w:eastAsia="仿宋" w:hAnsi="Times New Roman" w:hint="eastAsia"/>
                <w:sz w:val="28"/>
                <w:szCs w:val="28"/>
              </w:rPr>
              <w:t>（</w:t>
            </w:r>
            <w:r>
              <w:rPr>
                <w:rFonts w:ascii="Times New Roman" w:eastAsia="仿宋" w:hAnsi="Times New Roman" w:hint="eastAsia"/>
                <w:sz w:val="28"/>
                <w:szCs w:val="28"/>
              </w:rPr>
              <w:t>2</w:t>
            </w:r>
            <w:r>
              <w:rPr>
                <w:rFonts w:ascii="Times New Roman" w:eastAsia="仿宋" w:hAnsi="Times New Roman" w:hint="eastAsia"/>
                <w:sz w:val="28"/>
                <w:szCs w:val="28"/>
              </w:rPr>
              <w:t>）</w:t>
            </w:r>
          </w:p>
        </w:tc>
      </w:tr>
    </w:tbl>
    <w:p w14:paraId="7501E901"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式中，</w:t>
      </w:r>
      <m:oMath>
        <m:sSub>
          <m:sSubPr>
            <m:ctrlPr>
              <w:rPr>
                <w:rFonts w:ascii="DejaVu Math TeX Gyre" w:eastAsia="仿宋" w:hAnsi="DejaVu Math TeX Gyre"/>
                <w:i/>
                <w:sz w:val="24"/>
                <w:szCs w:val="24"/>
              </w:rPr>
            </m:ctrlPr>
          </m:sSubPr>
          <m:e>
            <m:r>
              <w:rPr>
                <w:rFonts w:ascii="DejaVu Math TeX Gyre" w:eastAsia="仿宋" w:hAnsi="DejaVu Math TeX Gyre"/>
                <w:sz w:val="24"/>
                <w:szCs w:val="24"/>
              </w:rPr>
              <m:t>score</m:t>
            </m:r>
          </m:e>
          <m:sub>
            <m:r>
              <w:rPr>
                <w:rFonts w:ascii="DejaVu Math TeX Gyre" w:eastAsia="仿宋" w:hAnsi="DejaVu Math TeX Gyre"/>
                <w:sz w:val="24"/>
                <w:szCs w:val="24"/>
              </w:rPr>
              <m:t>i</m:t>
            </m:r>
          </m:sub>
        </m:sSub>
      </m:oMath>
      <w:r>
        <w:rPr>
          <w:rFonts w:ascii="Times New Roman" w:eastAsia="仿宋" w:hAnsi="Times New Roman" w:hint="eastAsia"/>
          <w:sz w:val="28"/>
          <w:szCs w:val="28"/>
        </w:rPr>
        <w:t>代表第</w:t>
      </w:r>
      <w:proofErr w:type="spellStart"/>
      <w:r>
        <w:rPr>
          <w:rFonts w:ascii="Times New Roman" w:eastAsia="仿宋" w:hAnsi="Times New Roman" w:hint="eastAsia"/>
          <w:sz w:val="28"/>
          <w:szCs w:val="28"/>
        </w:rPr>
        <w:t>i</w:t>
      </w:r>
      <w:proofErr w:type="spellEnd"/>
      <w:r>
        <w:rPr>
          <w:rFonts w:ascii="Times New Roman" w:eastAsia="仿宋" w:hAnsi="Times New Roman" w:hint="eastAsia"/>
          <w:sz w:val="28"/>
          <w:szCs w:val="28"/>
        </w:rPr>
        <w:t>家公司的积极情绪倾向平均分，</w:t>
      </w:r>
      <w:r>
        <w:rPr>
          <w:rFonts w:ascii="Times New Roman" w:eastAsia="仿宋" w:hAnsi="Times New Roman" w:hint="eastAsia"/>
          <w:sz w:val="28"/>
          <w:szCs w:val="28"/>
        </w:rPr>
        <w:t xml:space="preserve"> </w:t>
      </w:r>
      <m:oMath>
        <m:func>
          <m:funcPr>
            <m:ctrlPr>
              <w:rPr>
                <w:rFonts w:ascii="DejaVu Math TeX Gyre" w:eastAsia="仿宋" w:hAnsi="DejaVu Math TeX Gyre"/>
                <w:i/>
                <w:sz w:val="24"/>
                <w:szCs w:val="24"/>
              </w:rPr>
            </m:ctrlPr>
          </m:funcPr>
          <m:fName>
            <m:r>
              <w:rPr>
                <w:rFonts w:ascii="DejaVu Math TeX Gyre" w:eastAsia="仿宋" w:hAnsi="DejaVu Math TeX Gyre"/>
                <w:sz w:val="24"/>
                <w:szCs w:val="24"/>
              </w:rPr>
              <m:t>max</m:t>
            </m:r>
          </m:fName>
          <m:e>
            <m:d>
              <m:dPr>
                <m:ctrlPr>
                  <w:rPr>
                    <w:rFonts w:ascii="DejaVu Math TeX Gyre" w:eastAsia="仿宋" w:hAnsi="DejaVu Math TeX Gyre"/>
                    <w:i/>
                    <w:sz w:val="24"/>
                    <w:szCs w:val="24"/>
                  </w:rPr>
                </m:ctrlPr>
              </m:dPr>
              <m:e>
                <m:r>
                  <w:rPr>
                    <w:rFonts w:ascii="DejaVu Math TeX Gyre" w:eastAsia="仿宋" w:hAnsi="DejaVu Math TeX Gyre"/>
                    <w:sz w:val="24"/>
                    <w:szCs w:val="24"/>
                  </w:rPr>
                  <m:t>score</m:t>
                </m:r>
              </m:e>
            </m:d>
          </m:e>
        </m:func>
      </m:oMath>
      <w:r>
        <w:rPr>
          <w:rFonts w:ascii="Times New Roman" w:eastAsia="仿宋" w:hAnsi="Times New Roman" w:hint="eastAsia"/>
          <w:sz w:val="28"/>
          <w:szCs w:val="28"/>
        </w:rPr>
        <w:t>表示</w:t>
      </w:r>
      <w:r>
        <w:rPr>
          <w:rFonts w:ascii="Times New Roman" w:eastAsia="仿宋" w:hAnsi="Times New Roman" w:hint="eastAsia"/>
          <w:sz w:val="28"/>
          <w:szCs w:val="28"/>
        </w:rPr>
        <w:t>27</w:t>
      </w:r>
      <w:r>
        <w:rPr>
          <w:rFonts w:ascii="Times New Roman" w:eastAsia="仿宋" w:hAnsi="Times New Roman" w:hint="eastAsia"/>
          <w:sz w:val="28"/>
          <w:szCs w:val="28"/>
        </w:rPr>
        <w:t>家公司中积极情绪倾向平均分的最大值，</w:t>
      </w:r>
      <m:oMath>
        <m:sSub>
          <m:sSubPr>
            <m:ctrlPr>
              <w:rPr>
                <w:rFonts w:ascii="DejaVu Math TeX Gyre" w:eastAsia="仿宋" w:hAnsi="DejaVu Math TeX Gyre"/>
                <w:i/>
                <w:sz w:val="24"/>
                <w:szCs w:val="24"/>
              </w:rPr>
            </m:ctrlPr>
          </m:sSubPr>
          <m:e>
            <m:r>
              <w:rPr>
                <w:rFonts w:ascii="DejaVu Math TeX Gyre" w:eastAsia="仿宋" w:hAnsi="DejaVu Math TeX Gyre"/>
                <w:sz w:val="24"/>
                <w:szCs w:val="24"/>
              </w:rPr>
              <m:t>Speak_score</m:t>
            </m:r>
          </m:e>
          <m:sub>
            <m:r>
              <w:rPr>
                <w:rFonts w:ascii="DejaVu Math TeX Gyre" w:eastAsia="仿宋" w:hAnsi="DejaVu Math TeX Gyre"/>
                <w:sz w:val="24"/>
                <w:szCs w:val="24"/>
              </w:rPr>
              <m:t>i</m:t>
            </m:r>
          </m:sub>
        </m:sSub>
      </m:oMath>
      <w:r>
        <w:rPr>
          <w:rFonts w:ascii="Times New Roman" w:eastAsia="仿宋" w:hAnsi="Times New Roman" w:hint="eastAsia"/>
          <w:sz w:val="28"/>
          <w:szCs w:val="28"/>
        </w:rPr>
        <w:t>表示</w:t>
      </w:r>
      <w:proofErr w:type="spellStart"/>
      <w:r>
        <w:rPr>
          <w:rFonts w:ascii="Times New Roman" w:eastAsia="仿宋" w:hAnsi="Times New Roman" w:hint="eastAsia"/>
          <w:sz w:val="28"/>
          <w:szCs w:val="28"/>
        </w:rPr>
        <w:t>i</w:t>
      </w:r>
      <w:proofErr w:type="spellEnd"/>
      <w:r>
        <w:rPr>
          <w:rFonts w:ascii="Times New Roman" w:eastAsia="仿宋" w:hAnsi="Times New Roman" w:hint="eastAsia"/>
          <w:sz w:val="28"/>
          <w:szCs w:val="28"/>
        </w:rPr>
        <w:t>公司的转型态度平分。</w:t>
      </w:r>
    </w:p>
    <w:p w14:paraId="6554C711"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石油公司</w:t>
      </w:r>
      <w:r>
        <w:rPr>
          <w:rFonts w:ascii="Times New Roman" w:eastAsia="仿宋" w:hAnsi="Times New Roman" w:hint="eastAsia"/>
          <w:color w:val="000000" w:themeColor="text1"/>
          <w:sz w:val="28"/>
          <w:szCs w:val="28"/>
        </w:rPr>
        <w:t>转型</w:t>
      </w:r>
      <w:r>
        <w:rPr>
          <w:rFonts w:ascii="Times New Roman" w:eastAsia="仿宋" w:hAnsi="Times New Roman" w:hint="eastAsia"/>
          <w:sz w:val="28"/>
          <w:szCs w:val="28"/>
        </w:rPr>
        <w:t>态度评分排名前十位的公司如图</w:t>
      </w:r>
      <w:r>
        <w:rPr>
          <w:rFonts w:ascii="Times New Roman" w:eastAsia="仿宋" w:hAnsi="Times New Roman" w:hint="eastAsia"/>
          <w:sz w:val="28"/>
          <w:szCs w:val="28"/>
        </w:rPr>
        <w:t>3</w:t>
      </w:r>
      <w:r>
        <w:rPr>
          <w:rFonts w:ascii="Times New Roman" w:eastAsia="仿宋" w:hAnsi="Times New Roman" w:hint="eastAsia"/>
          <w:sz w:val="28"/>
          <w:szCs w:val="28"/>
        </w:rPr>
        <w:t>所示：</w:t>
      </w:r>
    </w:p>
    <w:p w14:paraId="0065D330" w14:textId="4E550D01" w:rsidR="00DF1225" w:rsidRDefault="00000000">
      <w:pPr>
        <w:jc w:val="center"/>
        <w:rPr>
          <w:rFonts w:ascii="Times New Roman" w:eastAsia="仿宋" w:hAnsi="Times New Roman"/>
          <w:sz w:val="28"/>
          <w:szCs w:val="28"/>
          <w:highlight w:val="green"/>
        </w:rPr>
      </w:pPr>
      <w:r>
        <w:rPr>
          <w:rFonts w:ascii="Times New Roman" w:eastAsia="仿宋" w:hAnsi="Times New Roman" w:hint="eastAsia"/>
          <w:noProof/>
        </w:rPr>
        <w:drawing>
          <wp:inline distT="0" distB="0" distL="114300" distR="114300" wp14:anchorId="784FF7DE" wp14:editId="2EE4EB9F">
            <wp:extent cx="5274000" cy="2491048"/>
            <wp:effectExtent l="0" t="0" r="17145" b="1905"/>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9"/>
                    <a:stretch>
                      <a:fillRect/>
                    </a:stretch>
                  </pic:blipFill>
                  <pic:spPr>
                    <a:xfrm>
                      <a:off x="0" y="0"/>
                      <a:ext cx="5274000" cy="2491048"/>
                    </a:xfrm>
                    <a:prstGeom prst="rect">
                      <a:avLst/>
                    </a:prstGeom>
                    <a:noFill/>
                    <a:ln>
                      <a:noFill/>
                    </a:ln>
                  </pic:spPr>
                </pic:pic>
              </a:graphicData>
            </a:graphic>
          </wp:inline>
        </w:drawing>
      </w:r>
    </w:p>
    <w:p w14:paraId="4CC51B28" w14:textId="2FE0BF59" w:rsidR="00DF1225" w:rsidRPr="001B2D69" w:rsidRDefault="00000000" w:rsidP="001B2D69">
      <w:pPr>
        <w:spacing w:afterLines="100" w:after="312" w:line="360" w:lineRule="auto"/>
        <w:jc w:val="center"/>
        <w:rPr>
          <w:rFonts w:ascii="Times New Roman" w:eastAsia="仿宋" w:hAnsi="Times New Roman"/>
          <w:b/>
          <w:bCs/>
          <w:sz w:val="24"/>
          <w:szCs w:val="24"/>
        </w:rPr>
      </w:pPr>
      <w:r>
        <w:rPr>
          <w:rFonts w:ascii="Times New Roman" w:eastAsia="仿宋" w:hAnsi="Times New Roman" w:hint="eastAsia"/>
          <w:b/>
          <w:bCs/>
          <w:sz w:val="24"/>
          <w:szCs w:val="24"/>
        </w:rPr>
        <w:t>图</w:t>
      </w:r>
      <w:r>
        <w:rPr>
          <w:rFonts w:ascii="Times New Roman" w:eastAsia="仿宋" w:hAnsi="Times New Roman" w:hint="eastAsia"/>
          <w:b/>
          <w:bCs/>
          <w:sz w:val="24"/>
          <w:szCs w:val="24"/>
        </w:rPr>
        <w:t xml:space="preserve">3 </w:t>
      </w:r>
      <w:r>
        <w:rPr>
          <w:rFonts w:ascii="Times New Roman" w:eastAsia="仿宋" w:hAnsi="Times New Roman" w:hint="eastAsia"/>
          <w:b/>
          <w:bCs/>
          <w:sz w:val="24"/>
          <w:szCs w:val="24"/>
        </w:rPr>
        <w:t>石油公司转型态度评分排名前十名公司</w:t>
      </w:r>
    </w:p>
    <w:p w14:paraId="40AFBB87"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态度评分中，卢克分数最高，该公司</w:t>
      </w:r>
      <w:r>
        <w:rPr>
          <w:rFonts w:ascii="Times New Roman" w:eastAsia="仿宋" w:hAnsi="Times New Roman" w:hint="eastAsia"/>
          <w:sz w:val="28"/>
          <w:szCs w:val="28"/>
        </w:rPr>
        <w:t>2025</w:t>
      </w:r>
      <w:r>
        <w:rPr>
          <w:rFonts w:ascii="Times New Roman" w:eastAsia="仿宋" w:hAnsi="Times New Roman" w:hint="eastAsia"/>
          <w:sz w:val="28"/>
          <w:szCs w:val="28"/>
        </w:rPr>
        <w:t>年公开材料包含的与转型相关的语句较为集中，词汇表达较为积极，负面表述相对较少。</w:t>
      </w:r>
      <w:r>
        <w:rPr>
          <w:rFonts w:ascii="Times New Roman" w:eastAsia="仿宋" w:hAnsi="Times New Roman" w:hint="eastAsia"/>
          <w:sz w:val="28"/>
          <w:szCs w:val="28"/>
        </w:rPr>
        <w:lastRenderedPageBreak/>
        <w:t>排在第二位的日本帝国石油公司则以较为积极的态度对天然气、</w:t>
      </w:r>
      <w:r>
        <w:rPr>
          <w:rFonts w:ascii="Times New Roman" w:eastAsia="仿宋" w:hAnsi="Times New Roman" w:hint="eastAsia"/>
          <w:sz w:val="28"/>
          <w:szCs w:val="28"/>
        </w:rPr>
        <w:t>CCS</w:t>
      </w:r>
      <w:r>
        <w:rPr>
          <w:rFonts w:ascii="Times New Roman" w:eastAsia="仿宋" w:hAnsi="Times New Roman" w:hint="eastAsia"/>
          <w:sz w:val="28"/>
          <w:szCs w:val="28"/>
        </w:rPr>
        <w:t>、氢氨和可再生能源等业务发展进行了说明。诺瓦泰克则着重围绕</w:t>
      </w:r>
      <w:r>
        <w:rPr>
          <w:rFonts w:ascii="Times New Roman" w:eastAsia="仿宋" w:hAnsi="Times New Roman" w:hint="eastAsia"/>
          <w:sz w:val="28"/>
          <w:szCs w:val="28"/>
        </w:rPr>
        <w:t>LNG</w:t>
      </w:r>
      <w:r>
        <w:rPr>
          <w:rFonts w:ascii="Times New Roman" w:eastAsia="仿宋" w:hAnsi="Times New Roman" w:hint="eastAsia"/>
          <w:sz w:val="28"/>
          <w:szCs w:val="28"/>
        </w:rPr>
        <w:t>与温室气体强度和环境目标展开了系列的正面陈述。</w:t>
      </w:r>
    </w:p>
    <w:p w14:paraId="30B9F665"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从整体的平分分布上看，态度领先的企业包括了多数的俄罗斯企业和部分亚洲国家石油公司，相关文本集中讨论了天然气低碳化、能效提高和设施现代化等有效实现能源转型的措施问题，气候语句密集且用词较为积极。分数居中的公司也展现了较为积极的转型态度，但语句和主题的分布更为分散庞杂，如道达尔能源、巴西国家石油公司和埃尼，其气候议题往往与产业发展相关主题高度相关，较多的经营论述使得整体语句的积极性程度中等。</w:t>
      </w:r>
    </w:p>
    <w:p w14:paraId="692E5E0D"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就公司类别而言，国际石油公司整体集中且态度水平靠后，展现了</w:t>
      </w:r>
      <w:r>
        <w:rPr>
          <w:rFonts w:ascii="Times New Roman" w:eastAsia="仿宋" w:hAnsi="Times New Roman" w:hint="eastAsia"/>
          <w:sz w:val="28"/>
          <w:szCs w:val="28"/>
        </w:rPr>
        <w:t>2025</w:t>
      </w:r>
      <w:r>
        <w:rPr>
          <w:rFonts w:ascii="Times New Roman" w:eastAsia="仿宋" w:hAnsi="Times New Roman" w:hint="eastAsia"/>
          <w:sz w:val="28"/>
          <w:szCs w:val="28"/>
        </w:rPr>
        <w:t>年相关公司的表达随着其公开表达明显转向资本回报与选择性低碳投资扩张，对气候的议题措辞更克制，气候语句积极强度不高；国家石油公司整体对外的态度表达存在着较为突出的差异情况，不同地区的国家石油公司整体分布分散。从公司所属地区来看，俄罗斯及部分亚洲国家石油公司在高分段集中聚集，展现了对转型的强大态度表达；欧洲公司对转型的论述则更多与企业的经营论述相结合，合</w:t>
      </w:r>
      <w:proofErr w:type="gramStart"/>
      <w:r>
        <w:rPr>
          <w:rFonts w:ascii="Times New Roman" w:eastAsia="仿宋" w:hAnsi="Times New Roman" w:hint="eastAsia"/>
          <w:sz w:val="28"/>
          <w:szCs w:val="28"/>
        </w:rPr>
        <w:t>规</w:t>
      </w:r>
      <w:proofErr w:type="gramEnd"/>
      <w:r>
        <w:rPr>
          <w:rFonts w:ascii="Times New Roman" w:eastAsia="仿宋" w:hAnsi="Times New Roman" w:hint="eastAsia"/>
          <w:sz w:val="28"/>
          <w:szCs w:val="28"/>
        </w:rPr>
        <w:t>性的语言取代了强力的转型情感输出；而北美的相关公司则仍存在差异化，西方石油、安特罗资源、</w:t>
      </w:r>
      <w:proofErr w:type="spellStart"/>
      <w:r>
        <w:rPr>
          <w:rFonts w:ascii="Times New Roman" w:eastAsia="仿宋" w:hAnsi="Times New Roman" w:hint="eastAsia"/>
          <w:sz w:val="28"/>
          <w:szCs w:val="28"/>
        </w:rPr>
        <w:t>Ovintiv</w:t>
      </w:r>
      <w:proofErr w:type="spellEnd"/>
      <w:r>
        <w:rPr>
          <w:rFonts w:ascii="Times New Roman" w:eastAsia="仿宋" w:hAnsi="Times New Roman" w:hint="eastAsia"/>
          <w:sz w:val="28"/>
          <w:szCs w:val="28"/>
        </w:rPr>
        <w:t>等企业在相关材料中以较为积极地态度向公众展示了</w:t>
      </w:r>
      <w:proofErr w:type="gramStart"/>
      <w:r>
        <w:rPr>
          <w:rFonts w:ascii="Times New Roman" w:eastAsia="仿宋" w:hAnsi="Times New Roman" w:hint="eastAsia"/>
          <w:sz w:val="28"/>
          <w:szCs w:val="28"/>
        </w:rPr>
        <w:t>净零目标愿</w:t>
      </w:r>
      <w:proofErr w:type="gramEnd"/>
      <w:r>
        <w:rPr>
          <w:rFonts w:ascii="Times New Roman" w:eastAsia="仿宋" w:hAnsi="Times New Roman" w:hint="eastAsia"/>
          <w:sz w:val="28"/>
          <w:szCs w:val="28"/>
        </w:rPr>
        <w:t>景、碳捕集技术和气候治理的持续进展，展现出了更为积极的转型形象，其他公司的整体积极陈述内容较少，因此评分较低。</w:t>
      </w:r>
    </w:p>
    <w:p w14:paraId="32DAFF00" w14:textId="77777777" w:rsidR="00DF1225" w:rsidRDefault="00DF1225">
      <w:pPr>
        <w:spacing w:line="360" w:lineRule="auto"/>
        <w:rPr>
          <w:rFonts w:ascii="Times New Roman" w:eastAsia="仿宋" w:hAnsi="Times New Roman"/>
          <w:sz w:val="28"/>
          <w:szCs w:val="28"/>
        </w:rPr>
      </w:pPr>
    </w:p>
    <w:p w14:paraId="16757A85" w14:textId="77777777" w:rsidR="00DF1225" w:rsidRDefault="00000000">
      <w:pPr>
        <w:keepLines/>
        <w:spacing w:line="360" w:lineRule="auto"/>
        <w:outlineLvl w:val="1"/>
        <w:rPr>
          <w:rFonts w:ascii="Times New Roman" w:eastAsia="仿宋" w:hAnsi="Times New Roman"/>
          <w:b/>
          <w:bCs/>
          <w:sz w:val="28"/>
          <w:szCs w:val="28"/>
        </w:rPr>
      </w:pPr>
      <w:r>
        <w:rPr>
          <w:rFonts w:ascii="Times New Roman" w:eastAsia="仿宋" w:hAnsi="Times New Roman" w:hint="eastAsia"/>
          <w:b/>
          <w:bCs/>
          <w:sz w:val="28"/>
          <w:szCs w:val="28"/>
        </w:rPr>
        <w:t>3.2</w:t>
      </w:r>
      <w:r>
        <w:rPr>
          <w:rFonts w:ascii="Times New Roman" w:eastAsia="仿宋" w:hAnsi="Times New Roman" w:hint="eastAsia"/>
          <w:b/>
          <w:bCs/>
          <w:sz w:val="28"/>
          <w:szCs w:val="28"/>
        </w:rPr>
        <w:t>“行”：石油公司转型行动评分</w:t>
      </w:r>
    </w:p>
    <w:p w14:paraId="33E9F9CA"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color w:val="000000" w:themeColor="text1"/>
          <w:sz w:val="28"/>
          <w:szCs w:val="28"/>
        </w:rPr>
        <w:t>“行”即各石油公司为实现低碳转型而付诸的一系列行动。</w:t>
      </w:r>
      <w:r>
        <w:rPr>
          <w:rFonts w:ascii="Times New Roman" w:eastAsia="仿宋" w:hAnsi="Times New Roman" w:hint="eastAsia"/>
          <w:sz w:val="28"/>
          <w:szCs w:val="28"/>
        </w:rPr>
        <w:t>通过查阅</w:t>
      </w:r>
      <w:r>
        <w:rPr>
          <w:rFonts w:ascii="Times New Roman" w:eastAsia="仿宋" w:hAnsi="Times New Roman" w:hint="eastAsia"/>
          <w:sz w:val="28"/>
          <w:szCs w:val="28"/>
        </w:rPr>
        <w:t>27</w:t>
      </w:r>
      <w:r>
        <w:rPr>
          <w:rFonts w:ascii="Times New Roman" w:eastAsia="仿宋" w:hAnsi="Times New Roman" w:hint="eastAsia"/>
          <w:sz w:val="28"/>
          <w:szCs w:val="28"/>
        </w:rPr>
        <w:t>家公司年报、可持续发展报告等相关报告，获得各公司在低碳转型类</w:t>
      </w:r>
      <w:bookmarkStart w:id="3" w:name="OLE_LINK1"/>
      <w:r>
        <w:rPr>
          <w:rFonts w:ascii="Times New Roman" w:eastAsia="仿宋" w:hAnsi="Times New Roman" w:hint="eastAsia"/>
          <w:sz w:val="28"/>
          <w:szCs w:val="28"/>
        </w:rPr>
        <w:t>行业协会参与数量、低碳目标设定情况、低碳投资</w:t>
      </w:r>
      <w:bookmarkEnd w:id="3"/>
      <w:r>
        <w:rPr>
          <w:rFonts w:ascii="Times New Roman" w:eastAsia="仿宋" w:hAnsi="Times New Roman" w:hint="eastAsia"/>
          <w:sz w:val="28"/>
          <w:szCs w:val="28"/>
        </w:rPr>
        <w:t>比例三项指标方面的相关信息。其中：</w:t>
      </w:r>
    </w:p>
    <w:p w14:paraId="32207A13"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 xml:space="preserve">1. </w:t>
      </w:r>
      <w:r>
        <w:rPr>
          <w:rFonts w:ascii="Times New Roman" w:eastAsia="仿宋" w:hAnsi="Times New Roman" w:hint="eastAsia"/>
          <w:sz w:val="28"/>
          <w:szCs w:val="28"/>
        </w:rPr>
        <w:t>行业协会参与数量：本报告查询统计了公司截至</w:t>
      </w:r>
      <w:r>
        <w:rPr>
          <w:rFonts w:ascii="Times New Roman" w:eastAsia="仿宋" w:hAnsi="Times New Roman" w:hint="eastAsia"/>
          <w:sz w:val="28"/>
          <w:szCs w:val="28"/>
        </w:rPr>
        <w:t>2025</w:t>
      </w:r>
      <w:r>
        <w:rPr>
          <w:rFonts w:ascii="Times New Roman" w:eastAsia="仿宋" w:hAnsi="Times New Roman" w:hint="eastAsia"/>
          <w:sz w:val="28"/>
          <w:szCs w:val="28"/>
        </w:rPr>
        <w:t>年</w:t>
      </w:r>
      <w:r>
        <w:rPr>
          <w:rFonts w:ascii="Times New Roman" w:eastAsia="仿宋" w:hAnsi="Times New Roman" w:hint="eastAsia"/>
          <w:sz w:val="28"/>
          <w:szCs w:val="28"/>
        </w:rPr>
        <w:t>12</w:t>
      </w:r>
      <w:r>
        <w:rPr>
          <w:rFonts w:ascii="Times New Roman" w:eastAsia="仿宋" w:hAnsi="Times New Roman" w:hint="eastAsia"/>
          <w:sz w:val="28"/>
          <w:szCs w:val="28"/>
        </w:rPr>
        <w:t>月加入的相关行业协会（这里的行业协会特指与气候变化、可持续发展、低碳转型等相关）数量。部分协会的参与情况数据由于缺乏历史数据记录，使用</w:t>
      </w:r>
      <w:r>
        <w:rPr>
          <w:rFonts w:ascii="Times New Roman" w:eastAsia="仿宋" w:hAnsi="Times New Roman" w:hint="eastAsia"/>
          <w:sz w:val="28"/>
          <w:szCs w:val="28"/>
        </w:rPr>
        <w:t>2026</w:t>
      </w:r>
      <w:r>
        <w:rPr>
          <w:rFonts w:ascii="Times New Roman" w:eastAsia="仿宋" w:hAnsi="Times New Roman" w:hint="eastAsia"/>
          <w:sz w:val="28"/>
          <w:szCs w:val="28"/>
        </w:rPr>
        <w:t>年</w:t>
      </w:r>
      <w:r>
        <w:rPr>
          <w:rFonts w:ascii="Times New Roman" w:eastAsia="仿宋" w:hAnsi="Times New Roman" w:hint="eastAsia"/>
          <w:sz w:val="28"/>
          <w:szCs w:val="28"/>
        </w:rPr>
        <w:t>9</w:t>
      </w:r>
      <w:r>
        <w:rPr>
          <w:rFonts w:ascii="Times New Roman" w:eastAsia="仿宋" w:hAnsi="Times New Roman" w:hint="eastAsia"/>
          <w:sz w:val="28"/>
          <w:szCs w:val="28"/>
        </w:rPr>
        <w:t>月的参与情况作为替代。</w:t>
      </w:r>
    </w:p>
    <w:p w14:paraId="22F7ED84"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 xml:space="preserve">2. </w:t>
      </w:r>
      <w:r>
        <w:rPr>
          <w:rFonts w:ascii="Times New Roman" w:eastAsia="仿宋" w:hAnsi="Times New Roman" w:hint="eastAsia"/>
          <w:sz w:val="28"/>
          <w:szCs w:val="28"/>
        </w:rPr>
        <w:t>低碳目标设定情况：本报告将公司</w:t>
      </w:r>
      <w:r>
        <w:rPr>
          <w:rFonts w:ascii="Times New Roman" w:eastAsia="仿宋" w:hAnsi="Times New Roman" w:hint="eastAsia"/>
          <w:sz w:val="28"/>
          <w:szCs w:val="28"/>
        </w:rPr>
        <w:t>2025-2060</w:t>
      </w:r>
      <w:r>
        <w:rPr>
          <w:rFonts w:ascii="Times New Roman" w:eastAsia="仿宋" w:hAnsi="Times New Roman" w:hint="eastAsia"/>
          <w:sz w:val="28"/>
          <w:szCs w:val="28"/>
        </w:rPr>
        <w:t>年间设置减排目标的强度作为衡量各石油公司低碳转型的行为强度指标之一。并且从两个方面对公司低碳目标设定强度进行综合评估，分别是：公司是否设立短、中、长期目标，和公司是否设立净零排目标及公司设立的净零排目标包含的排放统计范围。</w:t>
      </w:r>
    </w:p>
    <w:p w14:paraId="1C5FA6CA"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3.</w:t>
      </w:r>
      <w:r>
        <w:rPr>
          <w:rFonts w:ascii="Times New Roman" w:eastAsia="仿宋" w:hAnsi="Times New Roman" w:hint="eastAsia"/>
          <w:sz w:val="28"/>
          <w:szCs w:val="28"/>
        </w:rPr>
        <w:t>低碳投资比例：本报告通过收集公司</w:t>
      </w:r>
      <w:r>
        <w:rPr>
          <w:rFonts w:ascii="Times New Roman" w:eastAsia="仿宋" w:hAnsi="Times New Roman" w:hint="eastAsia"/>
          <w:sz w:val="28"/>
          <w:szCs w:val="28"/>
        </w:rPr>
        <w:t>2025</w:t>
      </w:r>
      <w:r>
        <w:rPr>
          <w:rFonts w:ascii="Times New Roman" w:eastAsia="仿宋" w:hAnsi="Times New Roman" w:hint="eastAsia"/>
          <w:sz w:val="28"/>
          <w:szCs w:val="28"/>
        </w:rPr>
        <w:t>年发布的年报、</w:t>
      </w:r>
      <w:proofErr w:type="gramStart"/>
      <w:r>
        <w:rPr>
          <w:rFonts w:ascii="Times New Roman" w:eastAsia="仿宋" w:hAnsi="Times New Roman" w:hint="eastAsia"/>
          <w:sz w:val="28"/>
          <w:szCs w:val="28"/>
        </w:rPr>
        <w:t>财报等</w:t>
      </w:r>
      <w:proofErr w:type="gramEnd"/>
      <w:r>
        <w:rPr>
          <w:rFonts w:ascii="Times New Roman" w:eastAsia="仿宋" w:hAnsi="Times New Roman" w:hint="eastAsia"/>
          <w:sz w:val="28"/>
          <w:szCs w:val="28"/>
        </w:rPr>
        <w:t>，计算并统计出公司最新的年低碳投资强度。</w:t>
      </w:r>
    </w:p>
    <w:p w14:paraId="1C8E51F3"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关于公司低碳转型行动评分的计算步骤，如下所示：</w:t>
      </w:r>
    </w:p>
    <w:p w14:paraId="1AEAA475"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对三个子指标进行标准化处理，具体见公式（</w:t>
      </w:r>
      <w:r>
        <w:rPr>
          <w:rFonts w:ascii="Times New Roman" w:eastAsia="仿宋" w:hAnsi="Times New Roman" w:hint="eastAsia"/>
          <w:sz w:val="28"/>
          <w:szCs w:val="28"/>
        </w:rPr>
        <w:t>3</w:t>
      </w:r>
      <w:r>
        <w:rPr>
          <w:rFonts w:ascii="Times New Roman" w:eastAsia="仿宋" w:hAnsi="Times New Roman" w:hint="eastAsia"/>
          <w:sz w:val="28"/>
          <w:szCs w:val="28"/>
        </w:rPr>
        <w:t>）</w:t>
      </w: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63"/>
        <w:gridCol w:w="1089"/>
      </w:tblGrid>
      <w:tr w:rsidR="00DF1225" w14:paraId="6D7B2EEB" w14:textId="77777777">
        <w:trPr>
          <w:jc w:val="center"/>
        </w:trPr>
        <w:tc>
          <w:tcPr>
            <w:tcW w:w="6763" w:type="dxa"/>
            <w:vAlign w:val="center"/>
          </w:tcPr>
          <w:p w14:paraId="36B3D36D" w14:textId="77777777" w:rsidR="00DF1225" w:rsidRDefault="00000000">
            <w:pPr>
              <w:widowControl/>
              <w:tabs>
                <w:tab w:val="left" w:pos="377"/>
              </w:tabs>
              <w:spacing w:line="300" w:lineRule="auto"/>
              <w:jc w:val="center"/>
              <w:rPr>
                <w:rFonts w:ascii="Times New Roman" w:eastAsia="仿宋" w:hAnsi="Times New Roman"/>
                <w:i/>
                <w:iCs/>
                <w:sz w:val="24"/>
                <w:szCs w:val="24"/>
              </w:rPr>
            </w:pPr>
            <m:oMathPara>
              <m:oMath>
                <m:r>
                  <w:rPr>
                    <w:rFonts w:ascii="Cambria Math" w:eastAsia="仿宋" w:hAnsi="Cambria Math"/>
                    <w:sz w:val="28"/>
                    <w:szCs w:val="28"/>
                  </w:rPr>
                  <m:t>y=</m:t>
                </m:r>
                <m:f>
                  <m:fPr>
                    <m:ctrlPr>
                      <w:rPr>
                        <w:rFonts w:ascii="Cambria Math" w:eastAsia="仿宋" w:hAnsi="Cambria Math"/>
                        <w:sz w:val="28"/>
                        <w:szCs w:val="28"/>
                      </w:rPr>
                    </m:ctrlPr>
                  </m:fPr>
                  <m:num>
                    <m:sSub>
                      <m:sSubPr>
                        <m:ctrlPr>
                          <w:rPr>
                            <w:rFonts w:ascii="Cambria Math" w:eastAsia="仿宋" w:hAnsi="Cambria Math"/>
                            <w:i/>
                            <w:sz w:val="28"/>
                            <w:szCs w:val="28"/>
                          </w:rPr>
                        </m:ctrlPr>
                      </m:sSubPr>
                      <m:e>
                        <m:r>
                          <w:rPr>
                            <w:rFonts w:ascii="Cambria Math" w:eastAsia="仿宋" w:hAnsi="Cambria Math"/>
                            <w:sz w:val="28"/>
                            <w:szCs w:val="28"/>
                          </w:rPr>
                          <m:t>x</m:t>
                        </m:r>
                      </m:e>
                      <m:sub>
                        <m:r>
                          <w:rPr>
                            <w:rFonts w:ascii="Cambria Math" w:eastAsia="仿宋" w:hAnsi="Cambria Math"/>
                            <w:sz w:val="28"/>
                            <w:szCs w:val="28"/>
                          </w:rPr>
                          <m:t>i</m:t>
                        </m:r>
                      </m:sub>
                    </m:sSub>
                    <m:r>
                      <w:rPr>
                        <w:rFonts w:ascii="Cambria Math" w:eastAsia="仿宋" w:hAnsi="Cambria Math"/>
                        <w:sz w:val="28"/>
                        <w:szCs w:val="28"/>
                      </w:rPr>
                      <m:t>-</m:t>
                    </m:r>
                    <m:sSub>
                      <m:sSubPr>
                        <m:ctrlPr>
                          <w:rPr>
                            <w:rFonts w:ascii="Cambria Math" w:eastAsia="仿宋" w:hAnsi="Cambria Math"/>
                            <w:i/>
                            <w:sz w:val="28"/>
                            <w:szCs w:val="28"/>
                          </w:rPr>
                        </m:ctrlPr>
                      </m:sSubPr>
                      <m:e>
                        <m:r>
                          <w:rPr>
                            <w:rFonts w:ascii="Cambria Math" w:eastAsia="仿宋" w:hAnsi="Cambria Math"/>
                            <w:sz w:val="28"/>
                            <w:szCs w:val="28"/>
                          </w:rPr>
                          <m:t>x</m:t>
                        </m:r>
                      </m:e>
                      <m:sub>
                        <m:r>
                          <w:rPr>
                            <w:rFonts w:ascii="Cambria Math" w:eastAsia="仿宋" w:hAnsi="Cambria Math"/>
                            <w:sz w:val="28"/>
                            <w:szCs w:val="28"/>
                          </w:rPr>
                          <m:t>min</m:t>
                        </m:r>
                      </m:sub>
                    </m:sSub>
                    <m:ctrlPr>
                      <w:rPr>
                        <w:rFonts w:ascii="Cambria Math" w:eastAsia="仿宋" w:hAnsi="Cambria Math"/>
                        <w:i/>
                        <w:sz w:val="28"/>
                        <w:szCs w:val="28"/>
                      </w:rPr>
                    </m:ctrlPr>
                  </m:num>
                  <m:den>
                    <m:sSub>
                      <m:sSubPr>
                        <m:ctrlPr>
                          <w:rPr>
                            <w:rFonts w:ascii="Cambria Math" w:eastAsia="仿宋" w:hAnsi="Cambria Math"/>
                            <w:i/>
                            <w:sz w:val="28"/>
                            <w:szCs w:val="28"/>
                          </w:rPr>
                        </m:ctrlPr>
                      </m:sSubPr>
                      <m:e>
                        <m:r>
                          <w:rPr>
                            <w:rFonts w:ascii="Cambria Math" w:eastAsia="仿宋" w:hAnsi="Cambria Math"/>
                            <w:sz w:val="28"/>
                            <w:szCs w:val="28"/>
                          </w:rPr>
                          <m:t>x</m:t>
                        </m:r>
                      </m:e>
                      <m:sub>
                        <m:r>
                          <w:rPr>
                            <w:rFonts w:ascii="Cambria Math" w:eastAsia="仿宋" w:hAnsi="Cambria Math"/>
                            <w:sz w:val="28"/>
                            <w:szCs w:val="28"/>
                          </w:rPr>
                          <m:t>max</m:t>
                        </m:r>
                      </m:sub>
                    </m:sSub>
                    <m:r>
                      <w:rPr>
                        <w:rFonts w:ascii="Cambria Math" w:eastAsia="仿宋" w:hAnsi="Cambria Math"/>
                        <w:sz w:val="28"/>
                        <w:szCs w:val="28"/>
                      </w:rPr>
                      <m:t>-</m:t>
                    </m:r>
                    <m:sSub>
                      <m:sSubPr>
                        <m:ctrlPr>
                          <w:rPr>
                            <w:rFonts w:ascii="Cambria Math" w:eastAsia="仿宋" w:hAnsi="Cambria Math"/>
                            <w:i/>
                            <w:sz w:val="28"/>
                            <w:szCs w:val="28"/>
                          </w:rPr>
                        </m:ctrlPr>
                      </m:sSubPr>
                      <m:e>
                        <m:r>
                          <w:rPr>
                            <w:rFonts w:ascii="Cambria Math" w:eastAsia="仿宋" w:hAnsi="Cambria Math"/>
                            <w:sz w:val="28"/>
                            <w:szCs w:val="28"/>
                          </w:rPr>
                          <m:t>x</m:t>
                        </m:r>
                      </m:e>
                      <m:sub>
                        <m:r>
                          <w:rPr>
                            <w:rFonts w:ascii="Cambria Math" w:eastAsia="仿宋" w:hAnsi="Cambria Math"/>
                            <w:sz w:val="28"/>
                            <w:szCs w:val="28"/>
                          </w:rPr>
                          <m:t>min</m:t>
                        </m:r>
                      </m:sub>
                    </m:sSub>
                    <m:ctrlPr>
                      <w:rPr>
                        <w:rFonts w:ascii="Cambria Math" w:eastAsia="仿宋" w:hAnsi="Cambria Math"/>
                        <w:i/>
                        <w:sz w:val="28"/>
                        <w:szCs w:val="28"/>
                      </w:rPr>
                    </m:ctrlPr>
                  </m:den>
                </m:f>
              </m:oMath>
            </m:oMathPara>
          </w:p>
        </w:tc>
        <w:tc>
          <w:tcPr>
            <w:tcW w:w="1089" w:type="dxa"/>
            <w:vAlign w:val="center"/>
          </w:tcPr>
          <w:p w14:paraId="2BC2DBE8" w14:textId="77777777" w:rsidR="00DF1225" w:rsidRDefault="00000000">
            <w:pPr>
              <w:widowControl/>
              <w:tabs>
                <w:tab w:val="left" w:pos="377"/>
              </w:tabs>
              <w:spacing w:line="300" w:lineRule="auto"/>
              <w:rPr>
                <w:rFonts w:ascii="Times New Roman" w:eastAsia="仿宋" w:hAnsi="Times New Roman"/>
                <w:sz w:val="28"/>
                <w:szCs w:val="28"/>
              </w:rPr>
            </w:pPr>
            <w:r>
              <w:rPr>
                <w:rFonts w:ascii="Times New Roman" w:eastAsia="仿宋" w:hAnsi="Times New Roman" w:hint="eastAsia"/>
                <w:sz w:val="28"/>
                <w:szCs w:val="28"/>
              </w:rPr>
              <w:t>（</w:t>
            </w:r>
            <w:r>
              <w:rPr>
                <w:rFonts w:ascii="Times New Roman" w:eastAsia="仿宋" w:hAnsi="Times New Roman" w:hint="eastAsia"/>
                <w:sz w:val="28"/>
                <w:szCs w:val="28"/>
              </w:rPr>
              <w:t>3</w:t>
            </w:r>
            <w:r>
              <w:rPr>
                <w:rFonts w:ascii="Times New Roman" w:eastAsia="仿宋" w:hAnsi="Times New Roman" w:hint="eastAsia"/>
                <w:sz w:val="28"/>
                <w:szCs w:val="28"/>
              </w:rPr>
              <w:t>）</w:t>
            </w:r>
          </w:p>
        </w:tc>
      </w:tr>
    </w:tbl>
    <w:p w14:paraId="29C3CCD5" w14:textId="77777777" w:rsidR="00DF1225" w:rsidRDefault="00000000">
      <w:pPr>
        <w:spacing w:line="360" w:lineRule="auto"/>
        <w:ind w:firstLineChars="200" w:firstLine="560"/>
        <w:rPr>
          <w:rFonts w:ascii="Times New Roman" w:eastAsia="仿宋" w:hAnsi="Times New Roman"/>
          <w:kern w:val="0"/>
          <w:sz w:val="28"/>
          <w:szCs w:val="28"/>
        </w:rPr>
      </w:pPr>
      <w:r>
        <w:rPr>
          <w:rFonts w:ascii="Times New Roman" w:eastAsia="仿宋" w:hAnsi="Times New Roman" w:hint="eastAsia"/>
          <w:sz w:val="28"/>
          <w:szCs w:val="28"/>
        </w:rPr>
        <w:t>式中，</w:t>
      </w:r>
      <w:r>
        <w:rPr>
          <w:rFonts w:ascii="Times New Roman" w:eastAsia="仿宋" w:hAnsi="Times New Roman" w:hint="eastAsia"/>
          <w:sz w:val="28"/>
          <w:szCs w:val="28"/>
        </w:rPr>
        <w:t>𝑥</w:t>
      </w:r>
      <w:r>
        <w:rPr>
          <w:rFonts w:ascii="Times New Roman" w:eastAsia="仿宋" w:hAnsi="Times New Roman" w:hint="eastAsia"/>
          <w:sz w:val="28"/>
          <w:szCs w:val="28"/>
          <w:vertAlign w:val="subscript"/>
        </w:rPr>
        <w:t>𝑖</w:t>
      </w:r>
      <w:r>
        <w:rPr>
          <w:rFonts w:ascii="Times New Roman" w:eastAsia="仿宋" w:hAnsi="Times New Roman" w:hint="eastAsia"/>
          <w:sz w:val="28"/>
          <w:szCs w:val="28"/>
        </w:rPr>
        <w:t>为原始数据；</w:t>
      </w:r>
      <w:r>
        <w:rPr>
          <w:rFonts w:ascii="Times New Roman" w:eastAsia="仿宋" w:hAnsi="Times New Roman" w:hint="eastAsia"/>
          <w:sz w:val="28"/>
          <w:szCs w:val="28"/>
        </w:rPr>
        <w:t>y</w:t>
      </w:r>
      <w:r>
        <w:rPr>
          <w:rFonts w:ascii="Times New Roman" w:eastAsia="仿宋" w:hAnsi="Times New Roman" w:hint="eastAsia"/>
          <w:sz w:val="28"/>
          <w:szCs w:val="28"/>
        </w:rPr>
        <w:t>为标准化的数据；</w:t>
      </w:r>
      <w:r>
        <w:rPr>
          <w:rFonts w:ascii="Times New Roman" w:eastAsia="仿宋" w:hAnsi="Times New Roman" w:hint="eastAsia"/>
          <w:sz w:val="28"/>
          <w:szCs w:val="28"/>
        </w:rPr>
        <w:t>𝑥</w:t>
      </w:r>
      <w:r>
        <w:rPr>
          <w:rFonts w:ascii="Times New Roman" w:eastAsia="仿宋" w:hAnsi="Times New Roman" w:hint="eastAsia"/>
          <w:sz w:val="28"/>
          <w:szCs w:val="28"/>
          <w:vertAlign w:val="subscript"/>
        </w:rPr>
        <w:t>𝑚𝑎𝑥</w:t>
      </w:r>
      <w:r>
        <w:rPr>
          <w:rFonts w:ascii="Times New Roman" w:eastAsia="仿宋" w:hAnsi="Times New Roman" w:hint="eastAsia"/>
          <w:sz w:val="28"/>
          <w:szCs w:val="28"/>
        </w:rPr>
        <w:t>为标准化过程中所选指标的最大值；</w:t>
      </w:r>
      <w:r>
        <w:rPr>
          <w:rFonts w:ascii="Times New Roman" w:eastAsia="仿宋" w:hAnsi="Times New Roman" w:hint="eastAsia"/>
          <w:sz w:val="28"/>
          <w:szCs w:val="28"/>
        </w:rPr>
        <w:t>𝑥</w:t>
      </w:r>
      <w:r>
        <w:rPr>
          <w:rFonts w:ascii="Times New Roman" w:eastAsia="仿宋" w:hAnsi="Times New Roman" w:hint="eastAsia"/>
          <w:sz w:val="28"/>
          <w:szCs w:val="28"/>
          <w:vertAlign w:val="subscript"/>
        </w:rPr>
        <w:t>𝑚𝑖𝑛</w:t>
      </w:r>
      <w:r>
        <w:rPr>
          <w:rFonts w:ascii="Times New Roman" w:eastAsia="仿宋" w:hAnsi="Times New Roman" w:hint="eastAsia"/>
          <w:sz w:val="28"/>
          <w:szCs w:val="28"/>
        </w:rPr>
        <w:t>为标准化过程中所选指标的最小值。</w:t>
      </w:r>
    </w:p>
    <w:p w14:paraId="5795CABD" w14:textId="77777777" w:rsidR="00DF1225" w:rsidRDefault="00000000">
      <w:pPr>
        <w:spacing w:line="360" w:lineRule="auto"/>
        <w:ind w:firstLineChars="200" w:firstLine="560"/>
        <w:rPr>
          <w:rFonts w:ascii="Times New Roman" w:eastAsia="仿宋" w:hAnsi="Times New Roman"/>
          <w:kern w:val="0"/>
          <w:sz w:val="28"/>
          <w:szCs w:val="28"/>
        </w:rPr>
      </w:pPr>
      <w:proofErr w:type="gramStart"/>
      <w:r>
        <w:rPr>
          <w:rFonts w:ascii="Times New Roman" w:eastAsia="仿宋" w:hAnsi="Times New Roman" w:hint="eastAsia"/>
          <w:sz w:val="28"/>
          <w:szCs w:val="28"/>
        </w:rPr>
        <w:lastRenderedPageBreak/>
        <w:t>采用熵权法</w:t>
      </w:r>
      <w:proofErr w:type="gramEnd"/>
      <w:r>
        <w:rPr>
          <w:rFonts w:ascii="Times New Roman" w:eastAsia="仿宋" w:hAnsi="Times New Roman" w:hint="eastAsia"/>
          <w:sz w:val="28"/>
          <w:szCs w:val="28"/>
        </w:rPr>
        <w:t>对以上三个指标进行权重分配，具体步骤如下</w:t>
      </w:r>
    </w:p>
    <w:p w14:paraId="288F99D1" w14:textId="77777777" w:rsidR="00DF1225" w:rsidRDefault="00000000">
      <w:pPr>
        <w:spacing w:line="360" w:lineRule="auto"/>
        <w:ind w:firstLineChars="200" w:firstLine="560"/>
        <w:rPr>
          <w:rFonts w:ascii="Times New Roman" w:eastAsia="仿宋" w:hAnsi="Times New Roman"/>
          <w:kern w:val="0"/>
          <w:sz w:val="28"/>
          <w:szCs w:val="28"/>
        </w:rPr>
      </w:pPr>
      <w:r>
        <w:rPr>
          <w:rFonts w:ascii="Times New Roman" w:eastAsia="仿宋" w:hAnsi="Times New Roman" w:hint="eastAsia"/>
          <w:sz w:val="28"/>
          <w:szCs w:val="28"/>
        </w:rPr>
        <w:t>1.</w:t>
      </w:r>
      <w:r>
        <w:rPr>
          <w:rFonts w:ascii="Times New Roman" w:eastAsia="仿宋" w:hAnsi="Times New Roman" w:hint="eastAsia"/>
          <w:sz w:val="28"/>
          <w:szCs w:val="28"/>
        </w:rPr>
        <w:t>计算个指标信息熵，公式如式（</w:t>
      </w:r>
      <w:r>
        <w:rPr>
          <w:rFonts w:ascii="Times New Roman" w:eastAsia="仿宋" w:hAnsi="Times New Roman" w:hint="eastAsia"/>
          <w:sz w:val="28"/>
          <w:szCs w:val="28"/>
        </w:rPr>
        <w:t>4</w:t>
      </w:r>
      <w:r>
        <w:rPr>
          <w:rFonts w:ascii="Times New Roman" w:eastAsia="仿宋" w:hAnsi="Times New Roman" w:hint="eastAsia"/>
          <w:sz w:val="28"/>
          <w:szCs w:val="28"/>
        </w:rPr>
        <w:t>）所示：</w:t>
      </w: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63"/>
        <w:gridCol w:w="1089"/>
      </w:tblGrid>
      <w:tr w:rsidR="00DF1225" w14:paraId="2DD252B8" w14:textId="77777777">
        <w:trPr>
          <w:jc w:val="center"/>
        </w:trPr>
        <w:tc>
          <w:tcPr>
            <w:tcW w:w="6763" w:type="dxa"/>
            <w:vAlign w:val="center"/>
          </w:tcPr>
          <w:p w14:paraId="280CA2A5" w14:textId="77777777" w:rsidR="00DF1225" w:rsidRDefault="00000000">
            <w:pPr>
              <w:widowControl/>
              <w:tabs>
                <w:tab w:val="left" w:pos="377"/>
              </w:tabs>
              <w:spacing w:line="300" w:lineRule="auto"/>
              <w:jc w:val="center"/>
              <w:rPr>
                <w:rFonts w:ascii="Times New Roman" w:eastAsia="仿宋" w:hAnsi="Times New Roman"/>
                <w:i/>
                <w:iCs/>
                <w:sz w:val="24"/>
                <w:szCs w:val="24"/>
              </w:rPr>
            </w:pPr>
            <m:oMathPara>
              <m:oMath>
                <m:sSub>
                  <m:sSubPr>
                    <m:ctrlPr>
                      <w:rPr>
                        <w:rFonts w:ascii="Cambria Math" w:eastAsia="宋体" w:hAnsi="Cambria Math"/>
                        <w:i/>
                        <w:kern w:val="0"/>
                        <w:sz w:val="24"/>
                        <w:szCs w:val="24"/>
                      </w:rPr>
                    </m:ctrlPr>
                  </m:sSubPr>
                  <m:e>
                    <m:r>
                      <w:rPr>
                        <w:rFonts w:ascii="Cambria Math" w:eastAsia="宋体" w:hAnsi="Cambria Math"/>
                        <w:kern w:val="0"/>
                        <w:sz w:val="24"/>
                        <w:szCs w:val="24"/>
                      </w:rPr>
                      <m:t>E</m:t>
                    </m:r>
                  </m:e>
                  <m:sub>
                    <m:r>
                      <w:rPr>
                        <w:rFonts w:ascii="Cambria Math" w:eastAsia="宋体" w:hAnsi="Cambria Math"/>
                        <w:kern w:val="0"/>
                        <w:sz w:val="24"/>
                        <w:szCs w:val="24"/>
                      </w:rPr>
                      <m:t>j</m:t>
                    </m:r>
                  </m:sub>
                </m:sSub>
                <m:r>
                  <w:rPr>
                    <w:rFonts w:ascii="Cambria Math" w:eastAsia="宋体" w:hAnsi="Cambria Math"/>
                    <w:kern w:val="0"/>
                    <w:sz w:val="24"/>
                    <w:szCs w:val="24"/>
                  </w:rPr>
                  <m:t>=-</m:t>
                </m:r>
                <m:f>
                  <m:fPr>
                    <m:ctrlPr>
                      <w:rPr>
                        <w:rFonts w:ascii="Cambria Math" w:eastAsia="宋体" w:hAnsi="Cambria Math"/>
                        <w:kern w:val="0"/>
                        <w:sz w:val="24"/>
                        <w:szCs w:val="24"/>
                      </w:rPr>
                    </m:ctrlPr>
                  </m:fPr>
                  <m:num>
                    <m:r>
                      <w:rPr>
                        <w:rFonts w:ascii="Cambria Math" w:eastAsia="宋体" w:hAnsi="Cambria Math"/>
                        <w:kern w:val="0"/>
                        <w:sz w:val="24"/>
                        <w:szCs w:val="24"/>
                      </w:rPr>
                      <m:t>1</m:t>
                    </m:r>
                    <m:ctrlPr>
                      <w:rPr>
                        <w:rFonts w:ascii="Cambria Math" w:eastAsia="宋体" w:hAnsi="Cambria Math"/>
                        <w:i/>
                        <w:kern w:val="0"/>
                        <w:sz w:val="24"/>
                        <w:szCs w:val="24"/>
                      </w:rPr>
                    </m:ctrlPr>
                  </m:num>
                  <m:den>
                    <m:func>
                      <m:funcPr>
                        <m:ctrlPr>
                          <w:rPr>
                            <w:rFonts w:ascii="Cambria Math" w:eastAsia="宋体" w:hAnsi="Cambria Math"/>
                            <w:kern w:val="0"/>
                            <w:sz w:val="24"/>
                            <w:szCs w:val="24"/>
                          </w:rPr>
                        </m:ctrlPr>
                      </m:funcPr>
                      <m:fName>
                        <m:r>
                          <w:rPr>
                            <w:rFonts w:ascii="Cambria Math" w:eastAsia="宋体" w:hAnsi="Cambria Math"/>
                            <w:kern w:val="0"/>
                            <w:sz w:val="24"/>
                            <w:szCs w:val="24"/>
                          </w:rPr>
                          <m:t>ln</m:t>
                        </m:r>
                        <m:ctrlPr>
                          <w:rPr>
                            <w:rFonts w:ascii="Cambria Math" w:eastAsia="宋体" w:hAnsi="Cambria Math"/>
                            <w:i/>
                            <w:kern w:val="0"/>
                            <w:sz w:val="24"/>
                            <w:szCs w:val="24"/>
                          </w:rPr>
                        </m:ctrlPr>
                      </m:fName>
                      <m:e>
                        <m:r>
                          <w:rPr>
                            <w:rFonts w:ascii="Cambria Math" w:eastAsia="宋体" w:hAnsi="Cambria Math"/>
                            <w:kern w:val="0"/>
                            <w:sz w:val="24"/>
                            <w:szCs w:val="24"/>
                          </w:rPr>
                          <m:t>m</m:t>
                        </m:r>
                      </m:e>
                    </m:func>
                    <m:ctrlPr>
                      <w:rPr>
                        <w:rFonts w:ascii="Cambria Math" w:eastAsia="宋体" w:hAnsi="Cambria Math"/>
                        <w:i/>
                        <w:kern w:val="0"/>
                        <w:sz w:val="24"/>
                        <w:szCs w:val="24"/>
                      </w:rPr>
                    </m:ctrlPr>
                  </m:den>
                </m:f>
                <m:nary>
                  <m:naryPr>
                    <m:chr m:val="∑"/>
                    <m:ctrlPr>
                      <w:rPr>
                        <w:rFonts w:ascii="Cambria Math" w:eastAsia="宋体" w:hAnsi="Cambria Math"/>
                        <w:kern w:val="0"/>
                        <w:sz w:val="24"/>
                        <w:szCs w:val="24"/>
                      </w:rPr>
                    </m:ctrlPr>
                  </m:naryPr>
                  <m:sub>
                    <m:r>
                      <w:rPr>
                        <w:rFonts w:ascii="Cambria Math" w:eastAsia="宋体" w:hAnsi="Cambria Math"/>
                        <w:kern w:val="0"/>
                        <w:sz w:val="24"/>
                        <w:szCs w:val="24"/>
                      </w:rPr>
                      <m:t>i=1</m:t>
                    </m:r>
                    <m:ctrlPr>
                      <w:rPr>
                        <w:rFonts w:ascii="Cambria Math" w:eastAsia="宋体" w:hAnsi="Cambria Math"/>
                        <w:i/>
                        <w:kern w:val="0"/>
                        <w:sz w:val="24"/>
                        <w:szCs w:val="24"/>
                      </w:rPr>
                    </m:ctrlPr>
                  </m:sub>
                  <m:sup>
                    <m:r>
                      <w:rPr>
                        <w:rFonts w:ascii="Cambria Math" w:eastAsia="宋体" w:hAnsi="Cambria Math"/>
                        <w:kern w:val="0"/>
                        <w:sz w:val="24"/>
                        <w:szCs w:val="24"/>
                      </w:rPr>
                      <m:t>m</m:t>
                    </m:r>
                    <m:ctrlPr>
                      <w:rPr>
                        <w:rFonts w:ascii="Cambria Math" w:eastAsia="宋体" w:hAnsi="Cambria Math"/>
                        <w:i/>
                        <w:kern w:val="0"/>
                        <w:sz w:val="24"/>
                        <w:szCs w:val="24"/>
                      </w:rPr>
                    </m:ctrlPr>
                  </m:sup>
                  <m:e>
                    <m:f>
                      <m:fPr>
                        <m:ctrlPr>
                          <w:rPr>
                            <w:rFonts w:ascii="Cambria Math" w:eastAsia="宋体" w:hAnsi="Cambria Math"/>
                            <w:kern w:val="0"/>
                            <w:sz w:val="24"/>
                            <w:szCs w:val="24"/>
                          </w:rPr>
                        </m:ctrlPr>
                      </m:fPr>
                      <m:num>
                        <m:sSub>
                          <m:sSubPr>
                            <m:ctrlPr>
                              <w:rPr>
                                <w:rFonts w:ascii="Cambria Math" w:eastAsia="宋体" w:hAnsi="Cambria Math"/>
                                <w:i/>
                                <w:kern w:val="0"/>
                                <w:sz w:val="24"/>
                                <w:szCs w:val="24"/>
                              </w:rPr>
                            </m:ctrlPr>
                          </m:sSubPr>
                          <m:e>
                            <m:r>
                              <w:rPr>
                                <w:rFonts w:ascii="Cambria Math" w:eastAsia="宋体" w:hAnsi="Cambria Math"/>
                                <w:kern w:val="0"/>
                                <w:sz w:val="24"/>
                                <w:szCs w:val="24"/>
                              </w:rPr>
                              <m:t>y</m:t>
                            </m:r>
                          </m:e>
                          <m:sub>
                            <m:r>
                              <w:rPr>
                                <w:rFonts w:ascii="Cambria Math" w:eastAsia="宋体" w:hAnsi="Cambria Math"/>
                                <w:kern w:val="0"/>
                                <w:sz w:val="24"/>
                                <w:szCs w:val="24"/>
                              </w:rPr>
                              <m:t>ij</m:t>
                            </m:r>
                          </m:sub>
                        </m:sSub>
                        <m:ctrlPr>
                          <w:rPr>
                            <w:rFonts w:ascii="Cambria Math" w:eastAsia="宋体" w:hAnsi="Cambria Math"/>
                            <w:i/>
                            <w:kern w:val="0"/>
                            <w:sz w:val="24"/>
                            <w:szCs w:val="24"/>
                          </w:rPr>
                        </m:ctrlPr>
                      </m:num>
                      <m:den>
                        <m:nary>
                          <m:naryPr>
                            <m:chr m:val="∑"/>
                            <m:ctrlPr>
                              <w:rPr>
                                <w:rFonts w:ascii="Cambria Math" w:eastAsia="宋体" w:hAnsi="Cambria Math"/>
                                <w:kern w:val="0"/>
                                <w:sz w:val="24"/>
                                <w:szCs w:val="24"/>
                              </w:rPr>
                            </m:ctrlPr>
                          </m:naryPr>
                          <m:sub>
                            <m:r>
                              <w:rPr>
                                <w:rFonts w:ascii="Cambria Math" w:eastAsia="宋体" w:hAnsi="Cambria Math"/>
                                <w:kern w:val="0"/>
                                <w:sz w:val="24"/>
                                <w:szCs w:val="24"/>
                              </w:rPr>
                              <m:t>i=1</m:t>
                            </m:r>
                            <m:ctrlPr>
                              <w:rPr>
                                <w:rFonts w:ascii="Cambria Math" w:eastAsia="宋体" w:hAnsi="Cambria Math"/>
                                <w:i/>
                                <w:kern w:val="0"/>
                                <w:sz w:val="24"/>
                                <w:szCs w:val="24"/>
                              </w:rPr>
                            </m:ctrlPr>
                          </m:sub>
                          <m:sup>
                            <m:r>
                              <w:rPr>
                                <w:rFonts w:ascii="Cambria Math" w:eastAsia="宋体" w:hAnsi="Cambria Math"/>
                                <w:kern w:val="0"/>
                                <w:sz w:val="24"/>
                                <w:szCs w:val="24"/>
                              </w:rPr>
                              <m:t>m</m:t>
                            </m:r>
                            <m:ctrlPr>
                              <w:rPr>
                                <w:rFonts w:ascii="Cambria Math" w:eastAsia="宋体" w:hAnsi="Cambria Math"/>
                                <w:i/>
                                <w:kern w:val="0"/>
                                <w:sz w:val="24"/>
                                <w:szCs w:val="24"/>
                              </w:rPr>
                            </m:ctrlPr>
                          </m:sup>
                          <m:e>
                            <m:sSub>
                              <m:sSubPr>
                                <m:ctrlPr>
                                  <w:rPr>
                                    <w:rFonts w:ascii="Cambria Math" w:eastAsia="宋体" w:hAnsi="Cambria Math"/>
                                    <w:i/>
                                    <w:kern w:val="0"/>
                                    <w:sz w:val="24"/>
                                    <w:szCs w:val="24"/>
                                  </w:rPr>
                                </m:ctrlPr>
                              </m:sSubPr>
                              <m:e>
                                <m:r>
                                  <w:rPr>
                                    <w:rFonts w:ascii="Cambria Math" w:eastAsia="宋体" w:hAnsi="Cambria Math"/>
                                    <w:kern w:val="0"/>
                                    <w:sz w:val="24"/>
                                    <w:szCs w:val="24"/>
                                  </w:rPr>
                                  <m:t>y</m:t>
                                </m:r>
                              </m:e>
                              <m:sub>
                                <m:r>
                                  <w:rPr>
                                    <w:rFonts w:ascii="Cambria Math" w:eastAsia="宋体" w:hAnsi="Cambria Math"/>
                                    <w:kern w:val="0"/>
                                    <w:sz w:val="24"/>
                                    <w:szCs w:val="24"/>
                                  </w:rPr>
                                  <m:t>ij</m:t>
                                </m:r>
                              </m:sub>
                            </m:sSub>
                            <m:ctrlPr>
                              <w:rPr>
                                <w:rFonts w:ascii="Cambria Math" w:eastAsia="宋体" w:hAnsi="Cambria Math"/>
                                <w:i/>
                                <w:kern w:val="0"/>
                                <w:sz w:val="24"/>
                                <w:szCs w:val="24"/>
                              </w:rPr>
                            </m:ctrlPr>
                          </m:e>
                        </m:nary>
                        <m:ctrlPr>
                          <w:rPr>
                            <w:rFonts w:ascii="Cambria Math" w:eastAsia="宋体" w:hAnsi="Cambria Math"/>
                            <w:i/>
                            <w:kern w:val="0"/>
                            <w:sz w:val="24"/>
                            <w:szCs w:val="24"/>
                          </w:rPr>
                        </m:ctrlPr>
                      </m:den>
                    </m:f>
                    <m:ctrlPr>
                      <w:rPr>
                        <w:rFonts w:ascii="Cambria Math" w:eastAsia="宋体" w:hAnsi="Cambria Math"/>
                        <w:i/>
                        <w:kern w:val="0"/>
                        <w:sz w:val="24"/>
                        <w:szCs w:val="24"/>
                      </w:rPr>
                    </m:ctrlPr>
                  </m:e>
                </m:nary>
                <m:func>
                  <m:funcPr>
                    <m:ctrlPr>
                      <w:rPr>
                        <w:rFonts w:ascii="Cambria Math" w:eastAsia="宋体" w:hAnsi="Cambria Math"/>
                        <w:kern w:val="0"/>
                        <w:sz w:val="24"/>
                        <w:szCs w:val="24"/>
                      </w:rPr>
                    </m:ctrlPr>
                  </m:funcPr>
                  <m:fName>
                    <m:r>
                      <w:rPr>
                        <w:rFonts w:ascii="Cambria Math" w:eastAsia="宋体" w:hAnsi="Cambria Math"/>
                        <w:kern w:val="0"/>
                        <w:sz w:val="24"/>
                        <w:szCs w:val="24"/>
                      </w:rPr>
                      <m:t>ln</m:t>
                    </m:r>
                  </m:fName>
                  <m:e>
                    <m:f>
                      <m:fPr>
                        <m:ctrlPr>
                          <w:rPr>
                            <w:rFonts w:ascii="Cambria Math" w:eastAsia="宋体" w:hAnsi="Cambria Math"/>
                            <w:kern w:val="0"/>
                            <w:sz w:val="24"/>
                            <w:szCs w:val="24"/>
                          </w:rPr>
                        </m:ctrlPr>
                      </m:fPr>
                      <m:num>
                        <m:sSub>
                          <m:sSubPr>
                            <m:ctrlPr>
                              <w:rPr>
                                <w:rFonts w:ascii="Cambria Math" w:eastAsia="宋体" w:hAnsi="Cambria Math"/>
                                <w:i/>
                                <w:kern w:val="0"/>
                                <w:sz w:val="24"/>
                                <w:szCs w:val="24"/>
                              </w:rPr>
                            </m:ctrlPr>
                          </m:sSubPr>
                          <m:e>
                            <m:r>
                              <w:rPr>
                                <w:rFonts w:ascii="Cambria Math" w:eastAsia="宋体" w:hAnsi="Cambria Math"/>
                                <w:kern w:val="0"/>
                                <w:sz w:val="24"/>
                                <w:szCs w:val="24"/>
                              </w:rPr>
                              <m:t>y</m:t>
                            </m:r>
                          </m:e>
                          <m:sub>
                            <m:r>
                              <w:rPr>
                                <w:rFonts w:ascii="Cambria Math" w:eastAsia="宋体" w:hAnsi="Cambria Math"/>
                                <w:kern w:val="0"/>
                                <w:sz w:val="24"/>
                                <w:szCs w:val="24"/>
                              </w:rPr>
                              <m:t>ij</m:t>
                            </m:r>
                          </m:sub>
                        </m:sSub>
                        <m:ctrlPr>
                          <w:rPr>
                            <w:rFonts w:ascii="Cambria Math" w:eastAsia="宋体" w:hAnsi="Cambria Math"/>
                            <w:i/>
                            <w:kern w:val="0"/>
                            <w:sz w:val="24"/>
                            <w:szCs w:val="24"/>
                          </w:rPr>
                        </m:ctrlPr>
                      </m:num>
                      <m:den>
                        <m:nary>
                          <m:naryPr>
                            <m:chr m:val="∑"/>
                            <m:ctrlPr>
                              <w:rPr>
                                <w:rFonts w:ascii="Cambria Math" w:eastAsia="宋体" w:hAnsi="Cambria Math"/>
                                <w:kern w:val="0"/>
                                <w:sz w:val="24"/>
                                <w:szCs w:val="24"/>
                              </w:rPr>
                            </m:ctrlPr>
                          </m:naryPr>
                          <m:sub>
                            <m:r>
                              <w:rPr>
                                <w:rFonts w:ascii="Cambria Math" w:eastAsia="宋体" w:hAnsi="Cambria Math"/>
                                <w:kern w:val="0"/>
                                <w:sz w:val="24"/>
                                <w:szCs w:val="24"/>
                              </w:rPr>
                              <m:t>i=1</m:t>
                            </m:r>
                            <m:ctrlPr>
                              <w:rPr>
                                <w:rFonts w:ascii="Cambria Math" w:eastAsia="宋体" w:hAnsi="Cambria Math"/>
                                <w:i/>
                                <w:kern w:val="0"/>
                                <w:sz w:val="24"/>
                                <w:szCs w:val="24"/>
                              </w:rPr>
                            </m:ctrlPr>
                          </m:sub>
                          <m:sup>
                            <m:r>
                              <w:rPr>
                                <w:rFonts w:ascii="Cambria Math" w:eastAsia="宋体" w:hAnsi="Cambria Math"/>
                                <w:kern w:val="0"/>
                                <w:sz w:val="24"/>
                                <w:szCs w:val="24"/>
                              </w:rPr>
                              <m:t>m</m:t>
                            </m:r>
                            <m:ctrlPr>
                              <w:rPr>
                                <w:rFonts w:ascii="Cambria Math" w:eastAsia="宋体" w:hAnsi="Cambria Math"/>
                                <w:i/>
                                <w:kern w:val="0"/>
                                <w:sz w:val="24"/>
                                <w:szCs w:val="24"/>
                              </w:rPr>
                            </m:ctrlPr>
                          </m:sup>
                          <m:e>
                            <m:sSub>
                              <m:sSubPr>
                                <m:ctrlPr>
                                  <w:rPr>
                                    <w:rFonts w:ascii="Cambria Math" w:eastAsia="宋体" w:hAnsi="Cambria Math"/>
                                    <w:i/>
                                    <w:kern w:val="0"/>
                                    <w:sz w:val="24"/>
                                    <w:szCs w:val="24"/>
                                  </w:rPr>
                                </m:ctrlPr>
                              </m:sSubPr>
                              <m:e>
                                <m:r>
                                  <w:rPr>
                                    <w:rFonts w:ascii="Cambria Math" w:eastAsia="宋体" w:hAnsi="Cambria Math"/>
                                    <w:kern w:val="0"/>
                                    <w:sz w:val="24"/>
                                    <w:szCs w:val="24"/>
                                  </w:rPr>
                                  <m:t>y</m:t>
                                </m:r>
                              </m:e>
                              <m:sub>
                                <m:r>
                                  <w:rPr>
                                    <w:rFonts w:ascii="Cambria Math" w:eastAsia="宋体" w:hAnsi="Cambria Math"/>
                                    <w:kern w:val="0"/>
                                    <w:sz w:val="24"/>
                                    <w:szCs w:val="24"/>
                                  </w:rPr>
                                  <m:t>ij</m:t>
                                </m:r>
                              </m:sub>
                            </m:sSub>
                            <m:ctrlPr>
                              <w:rPr>
                                <w:rFonts w:ascii="Cambria Math" w:eastAsia="宋体" w:hAnsi="Cambria Math"/>
                                <w:i/>
                                <w:kern w:val="0"/>
                                <w:sz w:val="24"/>
                                <w:szCs w:val="24"/>
                              </w:rPr>
                            </m:ctrlPr>
                          </m:e>
                        </m:nary>
                        <m:ctrlPr>
                          <w:rPr>
                            <w:rFonts w:ascii="Cambria Math" w:eastAsia="宋体" w:hAnsi="Cambria Math"/>
                            <w:i/>
                            <w:kern w:val="0"/>
                            <w:sz w:val="24"/>
                            <w:szCs w:val="24"/>
                          </w:rPr>
                        </m:ctrlPr>
                      </m:den>
                    </m:f>
                  </m:e>
                </m:func>
              </m:oMath>
            </m:oMathPara>
          </w:p>
        </w:tc>
        <w:tc>
          <w:tcPr>
            <w:tcW w:w="1089" w:type="dxa"/>
            <w:vAlign w:val="center"/>
          </w:tcPr>
          <w:p w14:paraId="07C864DE" w14:textId="77777777" w:rsidR="00DF1225" w:rsidRDefault="00000000">
            <w:pPr>
              <w:widowControl/>
              <w:tabs>
                <w:tab w:val="left" w:pos="377"/>
              </w:tabs>
              <w:spacing w:line="300" w:lineRule="auto"/>
              <w:rPr>
                <w:rFonts w:ascii="Times New Roman" w:eastAsia="仿宋" w:hAnsi="Times New Roman"/>
                <w:sz w:val="28"/>
                <w:szCs w:val="28"/>
              </w:rPr>
            </w:pPr>
            <w:r>
              <w:rPr>
                <w:rFonts w:ascii="Times New Roman" w:eastAsia="仿宋" w:hAnsi="Times New Roman" w:hint="eastAsia"/>
                <w:sz w:val="28"/>
                <w:szCs w:val="28"/>
              </w:rPr>
              <w:t>（</w:t>
            </w:r>
            <w:r>
              <w:rPr>
                <w:rFonts w:ascii="Times New Roman" w:eastAsia="仿宋" w:hAnsi="Times New Roman" w:hint="eastAsia"/>
                <w:sz w:val="28"/>
                <w:szCs w:val="28"/>
              </w:rPr>
              <w:t>4</w:t>
            </w:r>
            <w:r>
              <w:rPr>
                <w:rFonts w:ascii="Times New Roman" w:eastAsia="仿宋" w:hAnsi="Times New Roman" w:hint="eastAsia"/>
                <w:sz w:val="28"/>
                <w:szCs w:val="28"/>
              </w:rPr>
              <w:t>）</w:t>
            </w:r>
          </w:p>
        </w:tc>
      </w:tr>
    </w:tbl>
    <w:p w14:paraId="78BC2DEA" w14:textId="77777777" w:rsidR="00DF1225" w:rsidRDefault="00000000">
      <w:pPr>
        <w:spacing w:line="360" w:lineRule="auto"/>
        <w:ind w:firstLineChars="200" w:firstLine="560"/>
        <w:rPr>
          <w:rFonts w:ascii="Times New Roman" w:eastAsia="仿宋" w:hAnsi="Times New Roman"/>
          <w:kern w:val="0"/>
          <w:sz w:val="28"/>
          <w:szCs w:val="28"/>
        </w:rPr>
      </w:pPr>
      <w:r>
        <w:rPr>
          <w:rFonts w:ascii="Times New Roman" w:eastAsia="仿宋" w:hAnsi="Times New Roman" w:hint="eastAsia"/>
          <w:sz w:val="28"/>
          <w:szCs w:val="28"/>
        </w:rPr>
        <w:t xml:space="preserve">2. </w:t>
      </w:r>
      <w:r>
        <w:rPr>
          <w:rFonts w:ascii="Times New Roman" w:eastAsia="仿宋" w:hAnsi="Times New Roman" w:hint="eastAsia"/>
          <w:sz w:val="28"/>
          <w:szCs w:val="28"/>
        </w:rPr>
        <w:t>通过信息熵计算各指标权重，公式如式（</w:t>
      </w:r>
      <w:r>
        <w:rPr>
          <w:rFonts w:ascii="Times New Roman" w:eastAsia="仿宋" w:hAnsi="Times New Roman" w:hint="eastAsia"/>
          <w:sz w:val="28"/>
          <w:szCs w:val="28"/>
        </w:rPr>
        <w:t>5</w:t>
      </w:r>
      <w:r>
        <w:rPr>
          <w:rFonts w:ascii="Times New Roman" w:eastAsia="仿宋" w:hAnsi="Times New Roman" w:hint="eastAsia"/>
          <w:sz w:val="28"/>
          <w:szCs w:val="28"/>
        </w:rPr>
        <w:t>）所示：</w:t>
      </w: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63"/>
        <w:gridCol w:w="1089"/>
      </w:tblGrid>
      <w:tr w:rsidR="00DF1225" w14:paraId="00F23D2B" w14:textId="77777777">
        <w:trPr>
          <w:jc w:val="center"/>
        </w:trPr>
        <w:tc>
          <w:tcPr>
            <w:tcW w:w="6763" w:type="dxa"/>
            <w:vAlign w:val="center"/>
          </w:tcPr>
          <w:p w14:paraId="663A5860" w14:textId="77777777" w:rsidR="00DF1225" w:rsidRDefault="00000000">
            <w:pPr>
              <w:widowControl/>
              <w:tabs>
                <w:tab w:val="left" w:pos="377"/>
              </w:tabs>
              <w:spacing w:line="300" w:lineRule="auto"/>
              <w:jc w:val="center"/>
              <w:rPr>
                <w:rFonts w:ascii="Times New Roman" w:eastAsia="仿宋" w:hAnsi="Times New Roman"/>
                <w:i/>
                <w:iCs/>
                <w:sz w:val="24"/>
                <w:szCs w:val="24"/>
              </w:rPr>
            </w:pPr>
            <m:oMathPara>
              <m:oMath>
                <m:sSub>
                  <m:sSubPr>
                    <m:ctrlPr>
                      <w:rPr>
                        <w:rFonts w:ascii="Cambria Math" w:eastAsia="宋体" w:hAnsi="Cambria Math"/>
                        <w:i/>
                        <w:kern w:val="0"/>
                        <w:sz w:val="24"/>
                        <w:szCs w:val="24"/>
                      </w:rPr>
                    </m:ctrlPr>
                  </m:sSubPr>
                  <m:e>
                    <m:r>
                      <w:rPr>
                        <w:rFonts w:ascii="Cambria Math" w:eastAsia="宋体" w:hAnsi="Cambria Math"/>
                        <w:kern w:val="0"/>
                        <w:sz w:val="24"/>
                        <w:szCs w:val="24"/>
                      </w:rPr>
                      <m:t>W</m:t>
                    </m:r>
                  </m:e>
                  <m:sub>
                    <m:r>
                      <w:rPr>
                        <w:rFonts w:ascii="Cambria Math" w:eastAsia="宋体" w:hAnsi="Cambria Math"/>
                        <w:kern w:val="0"/>
                        <w:sz w:val="24"/>
                        <w:szCs w:val="24"/>
                      </w:rPr>
                      <m:t>EWM,j</m:t>
                    </m:r>
                  </m:sub>
                </m:sSub>
                <m:r>
                  <w:rPr>
                    <w:rFonts w:ascii="Cambria Math" w:eastAsia="宋体" w:hAnsi="Cambria Math"/>
                    <w:kern w:val="0"/>
                    <w:sz w:val="24"/>
                    <w:szCs w:val="24"/>
                  </w:rPr>
                  <m:t>=</m:t>
                </m:r>
                <m:f>
                  <m:fPr>
                    <m:ctrlPr>
                      <w:rPr>
                        <w:rFonts w:ascii="Cambria Math" w:eastAsia="宋体" w:hAnsi="Cambria Math"/>
                        <w:kern w:val="0"/>
                        <w:sz w:val="24"/>
                        <w:szCs w:val="24"/>
                      </w:rPr>
                    </m:ctrlPr>
                  </m:fPr>
                  <m:num>
                    <m:r>
                      <w:rPr>
                        <w:rFonts w:ascii="Cambria Math" w:eastAsia="宋体" w:hAnsi="Cambria Math"/>
                        <w:kern w:val="0"/>
                        <w:sz w:val="24"/>
                        <w:szCs w:val="24"/>
                      </w:rPr>
                      <m:t>1-</m:t>
                    </m:r>
                    <m:sSub>
                      <m:sSubPr>
                        <m:ctrlPr>
                          <w:rPr>
                            <w:rFonts w:ascii="Cambria Math" w:eastAsia="宋体" w:hAnsi="Cambria Math"/>
                            <w:i/>
                            <w:kern w:val="0"/>
                            <w:sz w:val="24"/>
                            <w:szCs w:val="24"/>
                          </w:rPr>
                        </m:ctrlPr>
                      </m:sSubPr>
                      <m:e>
                        <m:r>
                          <w:rPr>
                            <w:rFonts w:ascii="Cambria Math" w:eastAsia="宋体" w:hAnsi="Cambria Math"/>
                            <w:kern w:val="0"/>
                            <w:sz w:val="24"/>
                            <w:szCs w:val="24"/>
                          </w:rPr>
                          <m:t>E</m:t>
                        </m:r>
                      </m:e>
                      <m:sub>
                        <m:r>
                          <w:rPr>
                            <w:rFonts w:ascii="Cambria Math" w:eastAsia="宋体" w:hAnsi="Cambria Math"/>
                            <w:kern w:val="0"/>
                            <w:sz w:val="24"/>
                            <w:szCs w:val="24"/>
                          </w:rPr>
                          <m:t>j</m:t>
                        </m:r>
                      </m:sub>
                    </m:sSub>
                    <m:ctrlPr>
                      <w:rPr>
                        <w:rFonts w:ascii="Cambria Math" w:eastAsia="宋体" w:hAnsi="Cambria Math"/>
                        <w:i/>
                        <w:kern w:val="0"/>
                        <w:sz w:val="24"/>
                        <w:szCs w:val="24"/>
                      </w:rPr>
                    </m:ctrlPr>
                  </m:num>
                  <m:den>
                    <m:nary>
                      <m:naryPr>
                        <m:chr m:val="∑"/>
                        <m:ctrlPr>
                          <w:rPr>
                            <w:rFonts w:ascii="Cambria Math" w:eastAsia="宋体" w:hAnsi="Cambria Math"/>
                            <w:kern w:val="0"/>
                            <w:sz w:val="24"/>
                            <w:szCs w:val="24"/>
                          </w:rPr>
                        </m:ctrlPr>
                      </m:naryPr>
                      <m:sub>
                        <m:r>
                          <w:rPr>
                            <w:rFonts w:ascii="Cambria Math" w:eastAsia="宋体" w:hAnsi="Cambria Math"/>
                            <w:kern w:val="0"/>
                            <w:sz w:val="24"/>
                            <w:szCs w:val="24"/>
                          </w:rPr>
                          <m:t>k=1</m:t>
                        </m:r>
                        <m:ctrlPr>
                          <w:rPr>
                            <w:rFonts w:ascii="Cambria Math" w:eastAsia="宋体" w:hAnsi="Cambria Math"/>
                            <w:i/>
                            <w:kern w:val="0"/>
                            <w:sz w:val="24"/>
                            <w:szCs w:val="24"/>
                          </w:rPr>
                        </m:ctrlPr>
                      </m:sub>
                      <m:sup>
                        <m:r>
                          <w:rPr>
                            <w:rFonts w:ascii="Cambria Math" w:eastAsia="宋体" w:hAnsi="Cambria Math"/>
                            <w:kern w:val="0"/>
                            <w:sz w:val="24"/>
                            <w:szCs w:val="24"/>
                          </w:rPr>
                          <m:t>n</m:t>
                        </m:r>
                        <m:ctrlPr>
                          <w:rPr>
                            <w:rFonts w:ascii="Cambria Math" w:eastAsia="宋体" w:hAnsi="Cambria Math"/>
                            <w:i/>
                            <w:kern w:val="0"/>
                            <w:sz w:val="24"/>
                            <w:szCs w:val="24"/>
                          </w:rPr>
                        </m:ctrlPr>
                      </m:sup>
                      <m:e>
                        <m:d>
                          <m:dPr>
                            <m:ctrlPr>
                              <w:rPr>
                                <w:rFonts w:ascii="Cambria Math" w:eastAsia="宋体" w:hAnsi="Cambria Math"/>
                                <w:i/>
                                <w:kern w:val="0"/>
                                <w:sz w:val="24"/>
                                <w:szCs w:val="24"/>
                              </w:rPr>
                            </m:ctrlPr>
                          </m:dPr>
                          <m:e>
                            <m:r>
                              <w:rPr>
                                <w:rFonts w:ascii="Cambria Math" w:eastAsia="宋体" w:hAnsi="Cambria Math"/>
                                <w:kern w:val="0"/>
                                <w:sz w:val="24"/>
                                <w:szCs w:val="24"/>
                              </w:rPr>
                              <m:t>1-</m:t>
                            </m:r>
                            <m:sSub>
                              <m:sSubPr>
                                <m:ctrlPr>
                                  <w:rPr>
                                    <w:rFonts w:ascii="Cambria Math" w:eastAsia="宋体" w:hAnsi="Cambria Math"/>
                                    <w:i/>
                                    <w:kern w:val="0"/>
                                    <w:sz w:val="24"/>
                                    <w:szCs w:val="24"/>
                                  </w:rPr>
                                </m:ctrlPr>
                              </m:sSubPr>
                              <m:e>
                                <m:r>
                                  <w:rPr>
                                    <w:rFonts w:ascii="Cambria Math" w:eastAsia="宋体" w:hAnsi="Cambria Math"/>
                                    <w:kern w:val="0"/>
                                    <w:sz w:val="24"/>
                                    <w:szCs w:val="24"/>
                                  </w:rPr>
                                  <m:t>E</m:t>
                                </m:r>
                              </m:e>
                              <m:sub>
                                <m:r>
                                  <w:rPr>
                                    <w:rFonts w:ascii="Cambria Math" w:eastAsia="宋体" w:hAnsi="Cambria Math"/>
                                    <w:kern w:val="0"/>
                                    <w:sz w:val="24"/>
                                    <w:szCs w:val="24"/>
                                  </w:rPr>
                                  <m:t>k</m:t>
                                </m:r>
                              </m:sub>
                            </m:sSub>
                          </m:e>
                        </m:d>
                        <m:ctrlPr>
                          <w:rPr>
                            <w:rFonts w:ascii="Cambria Math" w:eastAsia="宋体" w:hAnsi="Cambria Math"/>
                            <w:i/>
                            <w:kern w:val="0"/>
                            <w:sz w:val="24"/>
                            <w:szCs w:val="24"/>
                          </w:rPr>
                        </m:ctrlPr>
                      </m:e>
                    </m:nary>
                    <m:ctrlPr>
                      <w:rPr>
                        <w:rFonts w:ascii="Cambria Math" w:eastAsia="宋体" w:hAnsi="Cambria Math"/>
                        <w:i/>
                        <w:kern w:val="0"/>
                        <w:sz w:val="24"/>
                        <w:szCs w:val="24"/>
                      </w:rPr>
                    </m:ctrlPr>
                  </m:den>
                </m:f>
              </m:oMath>
            </m:oMathPara>
          </w:p>
        </w:tc>
        <w:tc>
          <w:tcPr>
            <w:tcW w:w="1089" w:type="dxa"/>
            <w:vAlign w:val="center"/>
          </w:tcPr>
          <w:p w14:paraId="675D4A24" w14:textId="77777777" w:rsidR="00DF1225" w:rsidRDefault="00000000">
            <w:pPr>
              <w:widowControl/>
              <w:tabs>
                <w:tab w:val="left" w:pos="377"/>
              </w:tabs>
              <w:spacing w:line="300" w:lineRule="auto"/>
              <w:rPr>
                <w:rFonts w:ascii="Times New Roman" w:eastAsia="仿宋" w:hAnsi="Times New Roman"/>
                <w:sz w:val="28"/>
                <w:szCs w:val="28"/>
              </w:rPr>
            </w:pPr>
            <w:r>
              <w:rPr>
                <w:rFonts w:ascii="Times New Roman" w:eastAsia="仿宋" w:hAnsi="Times New Roman" w:hint="eastAsia"/>
                <w:sz w:val="28"/>
                <w:szCs w:val="28"/>
              </w:rPr>
              <w:t>（</w:t>
            </w:r>
            <w:r>
              <w:rPr>
                <w:rFonts w:ascii="Times New Roman" w:eastAsia="仿宋" w:hAnsi="Times New Roman" w:hint="eastAsia"/>
                <w:sz w:val="28"/>
                <w:szCs w:val="28"/>
              </w:rPr>
              <w:t>5</w:t>
            </w:r>
            <w:r>
              <w:rPr>
                <w:rFonts w:ascii="Times New Roman" w:eastAsia="仿宋" w:hAnsi="Times New Roman" w:hint="eastAsia"/>
                <w:sz w:val="28"/>
                <w:szCs w:val="28"/>
              </w:rPr>
              <w:t>）</w:t>
            </w:r>
          </w:p>
        </w:tc>
      </w:tr>
    </w:tbl>
    <w:p w14:paraId="68215849" w14:textId="77777777" w:rsidR="00DF1225" w:rsidRDefault="00000000">
      <w:pPr>
        <w:spacing w:line="360" w:lineRule="auto"/>
        <w:ind w:firstLineChars="200" w:firstLine="560"/>
        <w:rPr>
          <w:rFonts w:ascii="Times New Roman" w:eastAsia="仿宋" w:hAnsi="Times New Roman"/>
          <w:kern w:val="0"/>
          <w:sz w:val="28"/>
          <w:szCs w:val="28"/>
        </w:rPr>
      </w:pPr>
      <w:r>
        <w:rPr>
          <w:rFonts w:ascii="Times New Roman" w:eastAsia="仿宋" w:hAnsi="Times New Roman" w:hint="eastAsia"/>
          <w:sz w:val="28"/>
          <w:szCs w:val="28"/>
        </w:rPr>
        <w:t>式中，</w:t>
      </w:r>
      <w:r>
        <w:rPr>
          <w:rFonts w:ascii="Times New Roman" w:eastAsia="仿宋" w:hAnsi="Times New Roman" w:hint="eastAsia"/>
          <w:sz w:val="28"/>
          <w:szCs w:val="28"/>
        </w:rPr>
        <w:t>m</w:t>
      </w:r>
      <w:r>
        <w:rPr>
          <w:rFonts w:ascii="Times New Roman" w:eastAsia="仿宋" w:hAnsi="Times New Roman" w:hint="eastAsia"/>
          <w:sz w:val="28"/>
          <w:szCs w:val="28"/>
        </w:rPr>
        <w:t>表示公司数量，</w:t>
      </w:r>
      <w:r>
        <w:rPr>
          <w:rFonts w:ascii="Times New Roman" w:eastAsia="仿宋" w:hAnsi="Times New Roman" w:hint="eastAsia"/>
          <w:sz w:val="28"/>
          <w:szCs w:val="28"/>
        </w:rPr>
        <w:t>n</w:t>
      </w:r>
      <w:r>
        <w:rPr>
          <w:rFonts w:ascii="Times New Roman" w:eastAsia="仿宋" w:hAnsi="Times New Roman" w:hint="eastAsia"/>
          <w:sz w:val="28"/>
          <w:szCs w:val="28"/>
        </w:rPr>
        <w:t>表示指标数量，</w:t>
      </w:r>
      <w:proofErr w:type="spellStart"/>
      <w:r>
        <w:rPr>
          <w:rFonts w:ascii="Times New Roman" w:eastAsia="仿宋" w:hAnsi="Times New Roman" w:hint="eastAsia"/>
          <w:sz w:val="28"/>
          <w:szCs w:val="28"/>
        </w:rPr>
        <w:t>E</w:t>
      </w:r>
      <w:r>
        <w:rPr>
          <w:rFonts w:ascii="Times New Roman" w:eastAsia="仿宋" w:hAnsi="Times New Roman" w:hint="eastAsia"/>
          <w:sz w:val="28"/>
          <w:szCs w:val="28"/>
          <w:vertAlign w:val="subscript"/>
        </w:rPr>
        <w:t>j</w:t>
      </w:r>
      <w:proofErr w:type="spellEnd"/>
      <w:r>
        <w:rPr>
          <w:rFonts w:ascii="Times New Roman" w:eastAsia="仿宋" w:hAnsi="Times New Roman" w:hint="eastAsia"/>
          <w:sz w:val="28"/>
          <w:szCs w:val="28"/>
        </w:rPr>
        <w:t>为指标</w:t>
      </w:r>
      <w:r>
        <w:rPr>
          <w:rFonts w:ascii="Times New Roman" w:eastAsia="仿宋" w:hAnsi="Times New Roman" w:hint="eastAsia"/>
          <w:sz w:val="28"/>
          <w:szCs w:val="28"/>
        </w:rPr>
        <w:t>j</w:t>
      </w:r>
      <w:r>
        <w:rPr>
          <w:rFonts w:ascii="Times New Roman" w:eastAsia="仿宋" w:hAnsi="Times New Roman" w:hint="eastAsia"/>
          <w:sz w:val="28"/>
          <w:szCs w:val="28"/>
        </w:rPr>
        <w:t>的信息熵，</w:t>
      </w:r>
      <w:proofErr w:type="spellStart"/>
      <w:r>
        <w:rPr>
          <w:rFonts w:ascii="Times New Roman" w:eastAsia="仿宋" w:hAnsi="Times New Roman" w:hint="eastAsia"/>
          <w:sz w:val="28"/>
          <w:szCs w:val="28"/>
        </w:rPr>
        <w:t>y</w:t>
      </w:r>
      <w:r>
        <w:rPr>
          <w:rFonts w:ascii="Times New Roman" w:eastAsia="仿宋" w:hAnsi="Times New Roman" w:hint="eastAsia"/>
          <w:sz w:val="28"/>
          <w:szCs w:val="28"/>
          <w:vertAlign w:val="subscript"/>
        </w:rPr>
        <w:t>ij</w:t>
      </w:r>
      <w:proofErr w:type="spellEnd"/>
      <w:r>
        <w:rPr>
          <w:rFonts w:ascii="Times New Roman" w:eastAsia="仿宋" w:hAnsi="Times New Roman" w:hint="eastAsia"/>
          <w:sz w:val="28"/>
          <w:szCs w:val="28"/>
        </w:rPr>
        <w:t>为</w:t>
      </w:r>
      <w:proofErr w:type="spellStart"/>
      <w:r>
        <w:rPr>
          <w:rFonts w:ascii="Times New Roman" w:eastAsia="仿宋" w:hAnsi="Times New Roman" w:hint="eastAsia"/>
          <w:sz w:val="28"/>
          <w:szCs w:val="28"/>
        </w:rPr>
        <w:t>i</w:t>
      </w:r>
      <w:proofErr w:type="spellEnd"/>
      <w:r>
        <w:rPr>
          <w:rFonts w:ascii="Times New Roman" w:eastAsia="仿宋" w:hAnsi="Times New Roman" w:hint="eastAsia"/>
          <w:sz w:val="28"/>
          <w:szCs w:val="28"/>
        </w:rPr>
        <w:t>公司在第</w:t>
      </w:r>
      <w:r>
        <w:rPr>
          <w:rFonts w:ascii="Times New Roman" w:eastAsia="仿宋" w:hAnsi="Times New Roman" w:hint="eastAsia"/>
          <w:sz w:val="28"/>
          <w:szCs w:val="28"/>
        </w:rPr>
        <w:t>j</w:t>
      </w:r>
      <w:proofErr w:type="gramStart"/>
      <w:r>
        <w:rPr>
          <w:rFonts w:ascii="Times New Roman" w:eastAsia="仿宋" w:hAnsi="Times New Roman" w:hint="eastAsia"/>
          <w:sz w:val="28"/>
          <w:szCs w:val="28"/>
        </w:rPr>
        <w:t>个</w:t>
      </w:r>
      <w:proofErr w:type="gramEnd"/>
      <w:r>
        <w:rPr>
          <w:rFonts w:ascii="Times New Roman" w:eastAsia="仿宋" w:hAnsi="Times New Roman" w:hint="eastAsia"/>
          <w:sz w:val="28"/>
          <w:szCs w:val="28"/>
        </w:rPr>
        <w:t>指标的标准化数据，</w:t>
      </w:r>
      <m:oMath>
        <m:sSub>
          <m:sSubPr>
            <m:ctrlPr>
              <w:rPr>
                <w:rFonts w:ascii="Cambria Math" w:eastAsia="宋体" w:hAnsi="Cambria Math"/>
                <w:i/>
                <w:kern w:val="0"/>
                <w:sz w:val="24"/>
                <w:szCs w:val="24"/>
              </w:rPr>
            </m:ctrlPr>
          </m:sSubPr>
          <m:e>
            <m:r>
              <w:rPr>
                <w:rFonts w:ascii="Cambria Math" w:eastAsia="宋体" w:hAnsi="Cambria Math"/>
                <w:kern w:val="0"/>
                <w:sz w:val="24"/>
                <w:szCs w:val="24"/>
              </w:rPr>
              <m:t>W</m:t>
            </m:r>
          </m:e>
          <m:sub>
            <m:r>
              <w:rPr>
                <w:rFonts w:ascii="Cambria Math" w:eastAsia="宋体" w:hAnsi="Cambria Math"/>
                <w:kern w:val="0"/>
                <w:sz w:val="24"/>
                <w:szCs w:val="24"/>
              </w:rPr>
              <m:t>EWM,j</m:t>
            </m:r>
          </m:sub>
        </m:sSub>
      </m:oMath>
      <w:r>
        <w:rPr>
          <w:rFonts w:ascii="Times New Roman" w:eastAsia="仿宋" w:hAnsi="Times New Roman" w:hint="eastAsia"/>
          <w:sz w:val="28"/>
          <w:szCs w:val="28"/>
        </w:rPr>
        <w:t>即为指标</w:t>
      </w:r>
      <w:r>
        <w:rPr>
          <w:rFonts w:ascii="Times New Roman" w:eastAsia="仿宋" w:hAnsi="Times New Roman" w:hint="eastAsia"/>
          <w:sz w:val="28"/>
          <w:szCs w:val="28"/>
        </w:rPr>
        <w:t>j</w:t>
      </w:r>
      <w:proofErr w:type="gramStart"/>
      <w:r>
        <w:rPr>
          <w:rFonts w:ascii="Times New Roman" w:eastAsia="仿宋" w:hAnsi="Times New Roman" w:hint="eastAsia"/>
          <w:sz w:val="28"/>
          <w:szCs w:val="28"/>
        </w:rPr>
        <w:t>的熵权法</w:t>
      </w:r>
      <w:proofErr w:type="gramEnd"/>
      <w:r>
        <w:rPr>
          <w:rFonts w:ascii="Times New Roman" w:eastAsia="仿宋" w:hAnsi="Times New Roman" w:hint="eastAsia"/>
          <w:sz w:val="28"/>
          <w:szCs w:val="28"/>
        </w:rPr>
        <w:t>计算权重。</w:t>
      </w:r>
    </w:p>
    <w:p w14:paraId="6244D52A"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w:t>
      </w:r>
      <w:r>
        <w:rPr>
          <w:rFonts w:ascii="Times New Roman" w:eastAsia="仿宋" w:hAnsi="Times New Roman" w:hint="eastAsia"/>
          <w:sz w:val="28"/>
          <w:szCs w:val="28"/>
        </w:rPr>
        <w:t>3</w:t>
      </w:r>
      <w:r>
        <w:rPr>
          <w:rFonts w:ascii="Times New Roman" w:eastAsia="仿宋" w:hAnsi="Times New Roman" w:hint="eastAsia"/>
          <w:sz w:val="28"/>
          <w:szCs w:val="28"/>
        </w:rPr>
        <w:t>）得出行业协会参与数量、低碳目标设定、低碳投资强度的权重分别为：</w:t>
      </w:r>
      <w:r>
        <w:rPr>
          <w:rFonts w:ascii="Times New Roman" w:eastAsia="仿宋" w:hAnsi="Times New Roman" w:hint="eastAsia"/>
          <w:sz w:val="28"/>
          <w:szCs w:val="28"/>
        </w:rPr>
        <w:t>28.15%</w:t>
      </w:r>
      <w:r>
        <w:rPr>
          <w:rFonts w:ascii="Times New Roman" w:eastAsia="仿宋" w:hAnsi="Times New Roman" w:hint="eastAsia"/>
          <w:sz w:val="28"/>
          <w:szCs w:val="28"/>
        </w:rPr>
        <w:t>、</w:t>
      </w:r>
      <w:r>
        <w:rPr>
          <w:rFonts w:ascii="Times New Roman" w:eastAsia="仿宋" w:hAnsi="Times New Roman" w:hint="eastAsia"/>
          <w:sz w:val="28"/>
          <w:szCs w:val="28"/>
        </w:rPr>
        <w:t>10.29%</w:t>
      </w:r>
      <w:r>
        <w:rPr>
          <w:rFonts w:ascii="Times New Roman" w:eastAsia="仿宋" w:hAnsi="Times New Roman" w:hint="eastAsia"/>
          <w:sz w:val="28"/>
          <w:szCs w:val="28"/>
        </w:rPr>
        <w:t>、</w:t>
      </w:r>
      <w:r>
        <w:rPr>
          <w:rFonts w:ascii="Times New Roman" w:eastAsia="仿宋" w:hAnsi="Times New Roman" w:hint="eastAsia"/>
          <w:sz w:val="28"/>
          <w:szCs w:val="28"/>
        </w:rPr>
        <w:t>61.56%</w:t>
      </w:r>
      <w:r>
        <w:rPr>
          <w:rFonts w:ascii="Times New Roman" w:eastAsia="仿宋" w:hAnsi="Times New Roman" w:hint="eastAsia"/>
          <w:sz w:val="28"/>
          <w:szCs w:val="28"/>
        </w:rPr>
        <w:t>，根据此权重计算出各公司转型行动评分并进行非线性等放大处理，即加权计算后的评分开方后乘以</w:t>
      </w:r>
      <w:r>
        <w:rPr>
          <w:rFonts w:ascii="Times New Roman" w:eastAsia="仿宋" w:hAnsi="Times New Roman" w:hint="eastAsia"/>
          <w:sz w:val="28"/>
          <w:szCs w:val="28"/>
        </w:rPr>
        <w:t>100</w:t>
      </w:r>
      <w:r>
        <w:rPr>
          <w:rFonts w:ascii="Times New Roman" w:eastAsia="仿宋" w:hAnsi="Times New Roman" w:hint="eastAsia"/>
          <w:sz w:val="28"/>
          <w:szCs w:val="28"/>
        </w:rPr>
        <w:t>，使得行动评分理论评分最高分为</w:t>
      </w:r>
      <w:r>
        <w:rPr>
          <w:rFonts w:ascii="Times New Roman" w:eastAsia="仿宋" w:hAnsi="Times New Roman" w:hint="eastAsia"/>
          <w:sz w:val="28"/>
          <w:szCs w:val="28"/>
        </w:rPr>
        <w:t xml:space="preserve">100 </w:t>
      </w:r>
      <w:r>
        <w:rPr>
          <w:rFonts w:ascii="Times New Roman" w:eastAsia="仿宋" w:hAnsi="Times New Roman" w:hint="eastAsia"/>
          <w:sz w:val="28"/>
          <w:szCs w:val="28"/>
        </w:rPr>
        <w:t>分。</w:t>
      </w:r>
    </w:p>
    <w:p w14:paraId="05B2A01A" w14:textId="77777777" w:rsidR="00DF1225" w:rsidRDefault="00000000">
      <w:pPr>
        <w:spacing w:line="360" w:lineRule="auto"/>
        <w:ind w:firstLineChars="200" w:firstLine="560"/>
        <w:rPr>
          <w:rFonts w:ascii="Times New Roman" w:eastAsia="仿宋" w:hAnsi="Times New Roman"/>
          <w:sz w:val="28"/>
          <w:szCs w:val="28"/>
        </w:rPr>
      </w:pPr>
      <w:bookmarkStart w:id="4" w:name="OLE_LINK2"/>
      <w:r>
        <w:rPr>
          <w:rFonts w:ascii="Times New Roman" w:eastAsia="仿宋" w:hAnsi="Times New Roman" w:hint="eastAsia"/>
          <w:sz w:val="28"/>
          <w:szCs w:val="28"/>
        </w:rPr>
        <w:t>石油公司转型行动评分排名前十位的公司如图</w:t>
      </w:r>
      <w:r>
        <w:rPr>
          <w:rFonts w:ascii="Times New Roman" w:eastAsia="仿宋" w:hAnsi="Times New Roman" w:hint="eastAsia"/>
          <w:sz w:val="28"/>
          <w:szCs w:val="28"/>
        </w:rPr>
        <w:t>4</w:t>
      </w:r>
      <w:r>
        <w:rPr>
          <w:rFonts w:ascii="Times New Roman" w:eastAsia="仿宋" w:hAnsi="Times New Roman" w:hint="eastAsia"/>
          <w:sz w:val="28"/>
          <w:szCs w:val="28"/>
        </w:rPr>
        <w:t>所示：</w:t>
      </w:r>
      <w:bookmarkEnd w:id="4"/>
    </w:p>
    <w:p w14:paraId="30B4B1E1" w14:textId="5C1986F5" w:rsidR="00DF1225" w:rsidRDefault="00000000">
      <w:pPr>
        <w:widowControl/>
        <w:jc w:val="center"/>
        <w:rPr>
          <w:rFonts w:hint="eastAsia"/>
        </w:rPr>
      </w:pPr>
      <w:r>
        <w:rPr>
          <w:rFonts w:ascii="Times New Roman" w:eastAsia="仿宋" w:hAnsi="Times New Roman" w:hint="eastAsia"/>
          <w:noProof/>
        </w:rPr>
        <w:drawing>
          <wp:inline distT="0" distB="0" distL="114300" distR="114300" wp14:anchorId="1F3002DD" wp14:editId="0FEA926F">
            <wp:extent cx="5274000" cy="2761098"/>
            <wp:effectExtent l="0" t="0" r="18415" b="381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pic:cNvPicPr>
                  </pic:nvPicPr>
                  <pic:blipFill>
                    <a:blip r:embed="rId10"/>
                    <a:srcRect l="1242" t="3485" r="2135" b="16217"/>
                    <a:stretch>
                      <a:fillRect/>
                    </a:stretch>
                  </pic:blipFill>
                  <pic:spPr>
                    <a:xfrm>
                      <a:off x="0" y="0"/>
                      <a:ext cx="5274000" cy="2761098"/>
                    </a:xfrm>
                    <a:prstGeom prst="rect">
                      <a:avLst/>
                    </a:prstGeom>
                    <a:noFill/>
                    <a:ln>
                      <a:noFill/>
                    </a:ln>
                  </pic:spPr>
                </pic:pic>
              </a:graphicData>
            </a:graphic>
          </wp:inline>
        </w:drawing>
      </w:r>
    </w:p>
    <w:p w14:paraId="1F18D391" w14:textId="77777777" w:rsidR="00DF1225" w:rsidRDefault="00000000">
      <w:pPr>
        <w:spacing w:afterLines="100" w:after="312" w:line="360" w:lineRule="auto"/>
        <w:jc w:val="center"/>
        <w:rPr>
          <w:rFonts w:ascii="Times New Roman" w:eastAsia="仿宋" w:hAnsi="Times New Roman"/>
          <w:sz w:val="24"/>
          <w:szCs w:val="24"/>
        </w:rPr>
      </w:pPr>
      <w:r>
        <w:rPr>
          <w:rFonts w:ascii="Times New Roman" w:eastAsia="仿宋" w:hAnsi="Times New Roman" w:hint="eastAsia"/>
          <w:b/>
          <w:bCs/>
          <w:sz w:val="24"/>
          <w:szCs w:val="24"/>
        </w:rPr>
        <w:t>图</w:t>
      </w:r>
      <w:r>
        <w:rPr>
          <w:rFonts w:ascii="Times New Roman" w:eastAsia="仿宋" w:hAnsi="Times New Roman" w:hint="eastAsia"/>
          <w:b/>
          <w:bCs/>
          <w:sz w:val="24"/>
          <w:szCs w:val="24"/>
        </w:rPr>
        <w:t xml:space="preserve">4 </w:t>
      </w:r>
      <w:r>
        <w:rPr>
          <w:rFonts w:ascii="Times New Roman" w:eastAsia="仿宋" w:hAnsi="Times New Roman" w:hint="eastAsia"/>
          <w:b/>
          <w:bCs/>
          <w:sz w:val="24"/>
          <w:szCs w:val="24"/>
        </w:rPr>
        <w:t>石油公司转型行动评分排名前十名公司</w:t>
      </w:r>
    </w:p>
    <w:p w14:paraId="16791874"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lastRenderedPageBreak/>
        <w:t>行动评分位于前列的国家在目标设定与行业协会参与两个方面均表现较为出色，主要的差距源于企业对低碳领域的投资情况。埃尼、雷普索尔、挪威国家石油公司及道达尔能源四家公司分别落地可再生电力与燃料、海上风电、规模化电力等可持续业务领域，加上完整的目标与积极的行业协会参与，因而排名较为靠前。评分稍低于这</w:t>
      </w:r>
      <w:r>
        <w:rPr>
          <w:rFonts w:ascii="Times New Roman" w:eastAsia="仿宋" w:hAnsi="Times New Roman" w:hint="eastAsia"/>
          <w:sz w:val="28"/>
          <w:szCs w:val="28"/>
        </w:rPr>
        <w:t>4</w:t>
      </w:r>
      <w:r>
        <w:rPr>
          <w:rFonts w:ascii="Times New Roman" w:eastAsia="仿宋" w:hAnsi="Times New Roman" w:hint="eastAsia"/>
          <w:sz w:val="28"/>
          <w:szCs w:val="28"/>
        </w:rPr>
        <w:t>家公司的</w:t>
      </w:r>
      <w:r>
        <w:rPr>
          <w:rFonts w:ascii="Times New Roman" w:eastAsia="仿宋" w:hAnsi="Times New Roman" w:hint="eastAsia"/>
          <w:sz w:val="28"/>
          <w:szCs w:val="28"/>
        </w:rPr>
        <w:t>BP</w:t>
      </w:r>
      <w:r>
        <w:rPr>
          <w:rFonts w:ascii="Times New Roman" w:eastAsia="仿宋" w:hAnsi="Times New Roman" w:hint="eastAsia"/>
          <w:sz w:val="28"/>
          <w:szCs w:val="28"/>
        </w:rPr>
        <w:t>与壳牌在三个维度上参与同样完整，但其低碳业务聚焦于少数方向且投入规模偏小。处于评分中上游的公司，包括马来西亚国家石油公司、西方石油等，则在行动层面呈现出有</w:t>
      </w:r>
      <w:proofErr w:type="gramStart"/>
      <w:r>
        <w:rPr>
          <w:rFonts w:ascii="Times New Roman" w:eastAsia="仿宋" w:hAnsi="Times New Roman" w:hint="eastAsia"/>
          <w:sz w:val="28"/>
          <w:szCs w:val="28"/>
        </w:rPr>
        <w:t>亮点但</w:t>
      </w:r>
      <w:proofErr w:type="gramEnd"/>
      <w:r>
        <w:rPr>
          <w:rFonts w:ascii="Times New Roman" w:eastAsia="仿宋" w:hAnsi="Times New Roman" w:hint="eastAsia"/>
          <w:sz w:val="28"/>
          <w:szCs w:val="28"/>
        </w:rPr>
        <w:t>未成体系的特征：大部分公司有较为清晰完整的转型目标设定，一些公司在行业参与协会上存在不足，而多数公司低碳投资占比较低。相关公司往往聚焦投资于绿色氢能、先进生物燃料等处于商业化早期且体量有限的细分领域，或同时布局</w:t>
      </w:r>
      <w:proofErr w:type="gramStart"/>
      <w:r>
        <w:rPr>
          <w:rFonts w:ascii="Times New Roman" w:eastAsia="仿宋" w:hAnsi="Times New Roman" w:hint="eastAsia"/>
          <w:sz w:val="28"/>
          <w:szCs w:val="28"/>
        </w:rPr>
        <w:t>多项未</w:t>
      </w:r>
      <w:proofErr w:type="gramEnd"/>
      <w:r>
        <w:rPr>
          <w:rFonts w:ascii="Times New Roman" w:eastAsia="仿宋" w:hAnsi="Times New Roman" w:hint="eastAsia"/>
          <w:sz w:val="28"/>
          <w:szCs w:val="28"/>
        </w:rPr>
        <w:t>实现规模协同的业务，这些业务对资本的吸收能率较弱，因此难以在短期实现规模化的投资。而位于评分中下游及尾部的公司则在行动层面上未形成多维度协同的优势。如雪佛龙与康菲在近年的</w:t>
      </w:r>
      <w:proofErr w:type="gramStart"/>
      <w:r>
        <w:rPr>
          <w:rFonts w:ascii="Times New Roman" w:eastAsia="仿宋" w:hAnsi="Times New Roman" w:hint="eastAsia"/>
          <w:sz w:val="28"/>
          <w:szCs w:val="28"/>
        </w:rPr>
        <w:t>净零目标</w:t>
      </w:r>
      <w:proofErr w:type="gramEnd"/>
      <w:r>
        <w:rPr>
          <w:rFonts w:ascii="Times New Roman" w:eastAsia="仿宋" w:hAnsi="Times New Roman" w:hint="eastAsia"/>
          <w:sz w:val="28"/>
          <w:szCs w:val="28"/>
        </w:rPr>
        <w:t>设定上存在倒退，先后自述暂缓净零排目标的设定；俄罗斯相关公司在行业协会参与上结果不够理想；北美部分企业如</w:t>
      </w:r>
      <w:proofErr w:type="spellStart"/>
      <w:r>
        <w:rPr>
          <w:rFonts w:ascii="Times New Roman" w:eastAsia="仿宋" w:hAnsi="Times New Roman" w:hint="eastAsia"/>
          <w:sz w:val="28"/>
          <w:szCs w:val="28"/>
        </w:rPr>
        <w:t>Ovintiv</w:t>
      </w:r>
      <w:proofErr w:type="spellEnd"/>
      <w:r>
        <w:rPr>
          <w:rFonts w:ascii="Times New Roman" w:eastAsia="仿宋" w:hAnsi="Times New Roman" w:hint="eastAsia"/>
          <w:sz w:val="28"/>
          <w:szCs w:val="28"/>
        </w:rPr>
        <w:t>和安特罗资源等未在相关文件中披露具体的低碳投资情况。</w:t>
      </w:r>
    </w:p>
    <w:p w14:paraId="3EABC526"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总体来看，欧洲石油公司总体分布于行动评分的高分段，原因在于其已经建立较为完整的碳市场、碳边境调节与能源指令等政策框架导向，而且为低碳业务提供可上市融资平台的资本市场条件；北美的石油公司则更集中于</w:t>
      </w:r>
      <w:proofErr w:type="gramStart"/>
      <w:r>
        <w:rPr>
          <w:rFonts w:ascii="Times New Roman" w:eastAsia="仿宋" w:hAnsi="Times New Roman" w:hint="eastAsia"/>
          <w:sz w:val="28"/>
          <w:szCs w:val="28"/>
        </w:rPr>
        <w:t>工业减碳路径</w:t>
      </w:r>
      <w:proofErr w:type="gramEnd"/>
      <w:r>
        <w:rPr>
          <w:rFonts w:ascii="Times New Roman" w:eastAsia="仿宋" w:hAnsi="Times New Roman" w:hint="eastAsia"/>
          <w:sz w:val="28"/>
          <w:szCs w:val="28"/>
        </w:rPr>
        <w:t>，如投资现有油气设施减排，业务</w:t>
      </w:r>
      <w:r>
        <w:rPr>
          <w:rFonts w:ascii="Times New Roman" w:eastAsia="仿宋" w:hAnsi="Times New Roman" w:hint="eastAsia"/>
          <w:sz w:val="28"/>
          <w:szCs w:val="28"/>
        </w:rPr>
        <w:lastRenderedPageBreak/>
        <w:t>边界较窄，内部呈现高度分化的状态，反映其缺乏统一政策牵引。国家石油公司</w:t>
      </w:r>
      <w:proofErr w:type="gramStart"/>
      <w:r>
        <w:rPr>
          <w:rFonts w:ascii="Times New Roman" w:eastAsia="仿宋" w:hAnsi="Times New Roman" w:hint="eastAsia"/>
          <w:sz w:val="28"/>
          <w:szCs w:val="28"/>
        </w:rPr>
        <w:t>仍内部</w:t>
      </w:r>
      <w:proofErr w:type="gramEnd"/>
      <w:r>
        <w:rPr>
          <w:rFonts w:ascii="Times New Roman" w:eastAsia="仿宋" w:hAnsi="Times New Roman" w:hint="eastAsia"/>
          <w:sz w:val="28"/>
          <w:szCs w:val="28"/>
        </w:rPr>
        <w:t>差异明显，马来西亚、印尼和哥伦比亚国家石油公司等积极进行地热、生物燃料和氢能等布局展现了较为突出的行动，而沙特、巴西、哈萨克斯等国家石油公司仍需进行集团的业务整合，这些公司普遍既缺乏完备的政策与平台支持，又承担能源保供任务，体系化的低碳行动体系仍在形成中。</w:t>
      </w:r>
    </w:p>
    <w:p w14:paraId="5EB726AF" w14:textId="77777777" w:rsidR="00DF1225" w:rsidRDefault="00000000">
      <w:pPr>
        <w:keepLines/>
        <w:spacing w:line="360" w:lineRule="auto"/>
        <w:outlineLvl w:val="1"/>
        <w:rPr>
          <w:rFonts w:ascii="Times New Roman" w:eastAsia="仿宋" w:hAnsi="Times New Roman" w:cstheme="majorBidi"/>
          <w:b/>
          <w:bCs/>
          <w:sz w:val="28"/>
          <w:szCs w:val="28"/>
        </w:rPr>
      </w:pPr>
      <w:r>
        <w:rPr>
          <w:rFonts w:ascii="Times New Roman" w:eastAsia="仿宋" w:hAnsi="Times New Roman" w:cstheme="majorBidi" w:hint="eastAsia"/>
          <w:b/>
          <w:bCs/>
          <w:sz w:val="28"/>
          <w:szCs w:val="28"/>
        </w:rPr>
        <w:tab/>
        <w:t>3.3</w:t>
      </w:r>
      <w:r>
        <w:rPr>
          <w:rFonts w:ascii="Times New Roman" w:eastAsia="仿宋" w:hAnsi="Times New Roman" w:cstheme="majorBidi" w:hint="eastAsia"/>
          <w:b/>
          <w:bCs/>
          <w:sz w:val="28"/>
          <w:szCs w:val="28"/>
        </w:rPr>
        <w:t>“果”：石油公司</w:t>
      </w:r>
      <w:proofErr w:type="gramStart"/>
      <w:r>
        <w:rPr>
          <w:rFonts w:ascii="Times New Roman" w:eastAsia="仿宋" w:hAnsi="Times New Roman" w:cstheme="majorBidi" w:hint="eastAsia"/>
          <w:b/>
          <w:bCs/>
          <w:sz w:val="28"/>
          <w:szCs w:val="28"/>
        </w:rPr>
        <w:t>转型成效</w:t>
      </w:r>
      <w:proofErr w:type="gramEnd"/>
      <w:r>
        <w:rPr>
          <w:rFonts w:ascii="Times New Roman" w:eastAsia="仿宋" w:hAnsi="Times New Roman" w:cstheme="majorBidi" w:hint="eastAsia"/>
          <w:b/>
          <w:bCs/>
          <w:sz w:val="28"/>
          <w:szCs w:val="28"/>
        </w:rPr>
        <w:t>评分</w:t>
      </w:r>
    </w:p>
    <w:p w14:paraId="3353E649"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color w:val="000000" w:themeColor="text1"/>
          <w:sz w:val="28"/>
          <w:szCs w:val="28"/>
        </w:rPr>
        <w:t>“果”即为各石油公司实施一系列措施后的低碳转型效果。</w:t>
      </w:r>
      <w:r>
        <w:rPr>
          <w:rFonts w:ascii="Times New Roman" w:eastAsia="仿宋" w:hAnsi="Times New Roman" w:hint="eastAsia"/>
          <w:sz w:val="28"/>
          <w:szCs w:val="28"/>
        </w:rPr>
        <w:t>本报告通过查阅</w:t>
      </w:r>
      <w:r>
        <w:rPr>
          <w:rFonts w:ascii="Times New Roman" w:eastAsia="仿宋" w:hAnsi="Times New Roman" w:hint="eastAsia"/>
          <w:sz w:val="28"/>
          <w:szCs w:val="28"/>
        </w:rPr>
        <w:t>27</w:t>
      </w:r>
      <w:r>
        <w:rPr>
          <w:rFonts w:ascii="Times New Roman" w:eastAsia="仿宋" w:hAnsi="Times New Roman" w:hint="eastAsia"/>
          <w:sz w:val="28"/>
          <w:szCs w:val="28"/>
        </w:rPr>
        <w:t>家公司年报、可持续发展报告等材料，获得公司的</w:t>
      </w:r>
      <w:r>
        <w:rPr>
          <w:rFonts w:ascii="Times New Roman" w:eastAsia="仿宋" w:hAnsi="Times New Roman" w:hint="eastAsia"/>
          <w:sz w:val="28"/>
          <w:szCs w:val="28"/>
        </w:rPr>
        <w:t>2024-2025</w:t>
      </w:r>
      <w:r>
        <w:rPr>
          <w:rFonts w:ascii="Times New Roman" w:eastAsia="仿宋" w:hAnsi="Times New Roman" w:hint="eastAsia"/>
          <w:sz w:val="28"/>
          <w:szCs w:val="28"/>
        </w:rPr>
        <w:t>年温室气体排放量、公司年油气生产当量等数据，并根据相关数据计算减排完成率与碳强度两个变量：</w:t>
      </w:r>
    </w:p>
    <w:p w14:paraId="34B648C6"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 xml:space="preserve">1. </w:t>
      </w:r>
      <w:proofErr w:type="gramStart"/>
      <w:r>
        <w:rPr>
          <w:rFonts w:ascii="Times New Roman" w:eastAsia="仿宋" w:hAnsi="Times New Roman" w:hint="eastAsia"/>
          <w:sz w:val="28"/>
          <w:szCs w:val="28"/>
        </w:rPr>
        <w:t>年碳强度</w:t>
      </w:r>
      <w:proofErr w:type="gramEnd"/>
      <w:r>
        <w:rPr>
          <w:rFonts w:ascii="Times New Roman" w:eastAsia="仿宋" w:hAnsi="Times New Roman" w:hint="eastAsia"/>
          <w:sz w:val="28"/>
          <w:szCs w:val="28"/>
        </w:rPr>
        <w:t>：通过石油公司公开披露的年度碳排放量数据，得到</w:t>
      </w:r>
      <w:r>
        <w:rPr>
          <w:rFonts w:ascii="Times New Roman" w:eastAsia="仿宋" w:hAnsi="Times New Roman" w:hint="eastAsia"/>
          <w:sz w:val="28"/>
          <w:szCs w:val="28"/>
        </w:rPr>
        <w:t>2024</w:t>
      </w:r>
      <w:r>
        <w:rPr>
          <w:rFonts w:ascii="Times New Roman" w:eastAsia="仿宋" w:hAnsi="Times New Roman" w:hint="eastAsia"/>
          <w:sz w:val="28"/>
          <w:szCs w:val="28"/>
        </w:rPr>
        <w:t>年公司温室气体排放量，即</w:t>
      </w:r>
      <w:r>
        <w:rPr>
          <w:rFonts w:ascii="Times New Roman" w:eastAsia="仿宋" w:hAnsi="Times New Roman" w:hint="eastAsia"/>
          <w:sz w:val="28"/>
          <w:szCs w:val="28"/>
        </w:rPr>
        <w:t>Scope1</w:t>
      </w:r>
      <w:r>
        <w:rPr>
          <w:rFonts w:ascii="Times New Roman" w:eastAsia="仿宋" w:hAnsi="Times New Roman" w:hint="eastAsia"/>
          <w:sz w:val="28"/>
          <w:szCs w:val="28"/>
        </w:rPr>
        <w:t>（温室气体直接排放数据）</w:t>
      </w:r>
      <w:r>
        <w:rPr>
          <w:rFonts w:ascii="Times New Roman" w:eastAsia="仿宋" w:hAnsi="Times New Roman" w:hint="eastAsia"/>
          <w:sz w:val="28"/>
          <w:szCs w:val="28"/>
        </w:rPr>
        <w:t>+Scope2</w:t>
      </w:r>
      <w:r>
        <w:rPr>
          <w:rFonts w:ascii="Times New Roman" w:eastAsia="仿宋" w:hAnsi="Times New Roman" w:hint="eastAsia"/>
          <w:sz w:val="28"/>
          <w:szCs w:val="28"/>
        </w:rPr>
        <w:t>（温室气体间接排放数据）。根据温室气体排放量与公司年油气生产当量的比值，求得公司单位收入的碳强度。</w:t>
      </w:r>
    </w:p>
    <w:p w14:paraId="5012ADFE"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 xml:space="preserve">2. </w:t>
      </w:r>
      <w:proofErr w:type="gramStart"/>
      <w:r>
        <w:rPr>
          <w:rFonts w:ascii="Times New Roman" w:eastAsia="仿宋" w:hAnsi="Times New Roman" w:hint="eastAsia"/>
          <w:sz w:val="28"/>
          <w:szCs w:val="28"/>
        </w:rPr>
        <w:t>年碳强度</w:t>
      </w:r>
      <w:proofErr w:type="gramEnd"/>
      <w:r>
        <w:rPr>
          <w:rFonts w:ascii="Times New Roman" w:eastAsia="仿宋" w:hAnsi="Times New Roman" w:hint="eastAsia"/>
          <w:sz w:val="28"/>
          <w:szCs w:val="28"/>
        </w:rPr>
        <w:t>变化率：根据计算出的连续两年的碳强度数据，</w:t>
      </w:r>
      <w:proofErr w:type="gramStart"/>
      <w:r>
        <w:rPr>
          <w:rFonts w:ascii="Times New Roman" w:eastAsia="仿宋" w:hAnsi="Times New Roman" w:hint="eastAsia"/>
          <w:sz w:val="28"/>
          <w:szCs w:val="28"/>
        </w:rPr>
        <w:t>计算年碳强度</w:t>
      </w:r>
      <w:proofErr w:type="gramEnd"/>
      <w:r>
        <w:rPr>
          <w:rFonts w:ascii="Times New Roman" w:eastAsia="仿宋" w:hAnsi="Times New Roman" w:hint="eastAsia"/>
          <w:sz w:val="28"/>
          <w:szCs w:val="28"/>
        </w:rPr>
        <w:t>变化率。</w:t>
      </w:r>
    </w:p>
    <w:p w14:paraId="77A9CFD9"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较低</w:t>
      </w:r>
      <w:proofErr w:type="gramStart"/>
      <w:r>
        <w:rPr>
          <w:rFonts w:ascii="Times New Roman" w:eastAsia="仿宋" w:hAnsi="Times New Roman" w:hint="eastAsia"/>
          <w:sz w:val="28"/>
          <w:szCs w:val="28"/>
        </w:rPr>
        <w:t>的年碳排放</w:t>
      </w:r>
      <w:proofErr w:type="gramEnd"/>
      <w:r>
        <w:rPr>
          <w:rFonts w:ascii="Times New Roman" w:eastAsia="仿宋" w:hAnsi="Times New Roman" w:hint="eastAsia"/>
          <w:sz w:val="28"/>
          <w:szCs w:val="28"/>
        </w:rPr>
        <w:t>强度和较低</w:t>
      </w:r>
      <w:proofErr w:type="gramStart"/>
      <w:r>
        <w:rPr>
          <w:rFonts w:ascii="Times New Roman" w:eastAsia="仿宋" w:hAnsi="Times New Roman" w:hint="eastAsia"/>
          <w:sz w:val="28"/>
          <w:szCs w:val="28"/>
        </w:rPr>
        <w:t>的年碳排放</w:t>
      </w:r>
      <w:proofErr w:type="gramEnd"/>
      <w:r>
        <w:rPr>
          <w:rFonts w:ascii="Times New Roman" w:eastAsia="仿宋" w:hAnsi="Times New Roman" w:hint="eastAsia"/>
          <w:sz w:val="28"/>
          <w:szCs w:val="28"/>
        </w:rPr>
        <w:t>变化率均代表更优秀的减</w:t>
      </w:r>
      <w:proofErr w:type="gramStart"/>
      <w:r>
        <w:rPr>
          <w:rFonts w:ascii="Times New Roman" w:eastAsia="仿宋" w:hAnsi="Times New Roman" w:hint="eastAsia"/>
          <w:sz w:val="28"/>
          <w:szCs w:val="28"/>
        </w:rPr>
        <w:t>排成效</w:t>
      </w:r>
      <w:proofErr w:type="gramEnd"/>
      <w:r>
        <w:rPr>
          <w:rFonts w:ascii="Times New Roman" w:eastAsia="仿宋" w:hAnsi="Times New Roman" w:hint="eastAsia"/>
          <w:sz w:val="28"/>
          <w:szCs w:val="28"/>
        </w:rPr>
        <w:t>表现，因此两个指标均为负向指标，在标准化处理时需进行反向标准化。</w:t>
      </w:r>
      <w:proofErr w:type="gramStart"/>
      <w:r>
        <w:rPr>
          <w:rFonts w:ascii="Times New Roman" w:eastAsia="仿宋" w:hAnsi="Times New Roman" w:hint="eastAsia"/>
          <w:sz w:val="28"/>
          <w:szCs w:val="28"/>
        </w:rPr>
        <w:t>通过熵权法</w:t>
      </w:r>
      <w:proofErr w:type="gramEnd"/>
      <w:r>
        <w:rPr>
          <w:rFonts w:ascii="Times New Roman" w:eastAsia="仿宋" w:hAnsi="Times New Roman" w:hint="eastAsia"/>
          <w:sz w:val="28"/>
          <w:szCs w:val="28"/>
        </w:rPr>
        <w:t>，</w:t>
      </w:r>
      <w:proofErr w:type="gramStart"/>
      <w:r>
        <w:rPr>
          <w:rFonts w:ascii="Times New Roman" w:eastAsia="仿宋" w:hAnsi="Times New Roman" w:hint="eastAsia"/>
          <w:sz w:val="28"/>
          <w:szCs w:val="28"/>
        </w:rPr>
        <w:t>对减排</w:t>
      </w:r>
      <w:proofErr w:type="gramEnd"/>
      <w:r>
        <w:rPr>
          <w:rFonts w:ascii="Times New Roman" w:eastAsia="仿宋" w:hAnsi="Times New Roman" w:hint="eastAsia"/>
          <w:sz w:val="28"/>
          <w:szCs w:val="28"/>
        </w:rPr>
        <w:t>完成率与碳强度两个指标进行权重分配，</w:t>
      </w:r>
      <w:r>
        <w:rPr>
          <w:rFonts w:ascii="Times New Roman" w:eastAsia="仿宋" w:hAnsi="Times New Roman" w:hint="eastAsia"/>
          <w:color w:val="000000"/>
          <w:sz w:val="28"/>
          <w:szCs w:val="28"/>
        </w:rPr>
        <w:t>具体见公式（</w:t>
      </w:r>
      <w:r>
        <w:rPr>
          <w:rFonts w:ascii="Times New Roman" w:eastAsia="仿宋" w:hAnsi="Times New Roman" w:hint="eastAsia"/>
          <w:color w:val="000000"/>
          <w:sz w:val="28"/>
          <w:szCs w:val="28"/>
        </w:rPr>
        <w:t>4</w:t>
      </w:r>
      <w:r>
        <w:rPr>
          <w:rFonts w:ascii="Times New Roman" w:eastAsia="仿宋" w:hAnsi="Times New Roman" w:hint="eastAsia"/>
          <w:color w:val="000000"/>
          <w:sz w:val="28"/>
          <w:szCs w:val="28"/>
        </w:rPr>
        <w:t>）、公式（</w:t>
      </w:r>
      <w:r>
        <w:rPr>
          <w:rFonts w:ascii="Times New Roman" w:eastAsia="仿宋" w:hAnsi="Times New Roman" w:hint="eastAsia"/>
          <w:color w:val="000000"/>
          <w:sz w:val="28"/>
          <w:szCs w:val="28"/>
        </w:rPr>
        <w:t>5</w:t>
      </w:r>
      <w:r>
        <w:rPr>
          <w:rFonts w:ascii="Times New Roman" w:eastAsia="仿宋" w:hAnsi="Times New Roman" w:hint="eastAsia"/>
          <w:color w:val="000000"/>
          <w:sz w:val="28"/>
          <w:szCs w:val="28"/>
        </w:rPr>
        <w:t>）。最终计算结果</w:t>
      </w:r>
      <w:proofErr w:type="gramStart"/>
      <w:r>
        <w:rPr>
          <w:rFonts w:ascii="Times New Roman" w:eastAsia="仿宋" w:hAnsi="Times New Roman" w:hint="eastAsia"/>
          <w:color w:val="000000"/>
          <w:sz w:val="28"/>
          <w:szCs w:val="28"/>
        </w:rPr>
        <w:t>得出</w:t>
      </w:r>
      <w:r>
        <w:rPr>
          <w:rFonts w:ascii="Times New Roman" w:eastAsia="仿宋" w:hAnsi="Times New Roman" w:hint="eastAsia"/>
          <w:sz w:val="28"/>
          <w:szCs w:val="28"/>
        </w:rPr>
        <w:t>年碳强度与年碳强度</w:t>
      </w:r>
      <w:proofErr w:type="gramEnd"/>
      <w:r>
        <w:rPr>
          <w:rFonts w:ascii="Times New Roman" w:eastAsia="仿宋" w:hAnsi="Times New Roman" w:hint="eastAsia"/>
          <w:sz w:val="28"/>
          <w:szCs w:val="28"/>
        </w:rPr>
        <w:t>变化率</w:t>
      </w:r>
      <w:r>
        <w:rPr>
          <w:rFonts w:ascii="Times New Roman" w:eastAsia="仿宋" w:hAnsi="Times New Roman" w:hint="eastAsia"/>
          <w:color w:val="000000"/>
          <w:sz w:val="28"/>
          <w:szCs w:val="28"/>
        </w:rPr>
        <w:t>的权重分别为</w:t>
      </w:r>
      <w:r>
        <w:rPr>
          <w:rFonts w:ascii="Times New Roman" w:eastAsia="仿宋" w:hAnsi="Times New Roman" w:hint="eastAsia"/>
          <w:color w:val="000000"/>
          <w:sz w:val="28"/>
          <w:szCs w:val="28"/>
        </w:rPr>
        <w:t>46.53%</w:t>
      </w:r>
      <w:r>
        <w:rPr>
          <w:rFonts w:ascii="Times New Roman" w:eastAsia="仿宋" w:hAnsi="Times New Roman" w:hint="eastAsia"/>
          <w:color w:val="000000"/>
          <w:sz w:val="28"/>
          <w:szCs w:val="28"/>
        </w:rPr>
        <w:t>、</w:t>
      </w:r>
      <w:r>
        <w:rPr>
          <w:rFonts w:ascii="Times New Roman" w:eastAsia="仿宋" w:hAnsi="Times New Roman" w:hint="eastAsia"/>
          <w:color w:val="000000"/>
          <w:sz w:val="28"/>
          <w:szCs w:val="28"/>
        </w:rPr>
        <w:t>53.47%</w:t>
      </w:r>
      <w:r>
        <w:rPr>
          <w:rFonts w:ascii="Times New Roman" w:eastAsia="仿宋" w:hAnsi="Times New Roman" w:hint="eastAsia"/>
          <w:sz w:val="28"/>
          <w:szCs w:val="28"/>
        </w:rPr>
        <w:t>。根据此权重计算出</w:t>
      </w:r>
      <w:r>
        <w:rPr>
          <w:rFonts w:ascii="Times New Roman" w:eastAsia="仿宋" w:hAnsi="Times New Roman" w:hint="eastAsia"/>
          <w:sz w:val="28"/>
          <w:szCs w:val="28"/>
        </w:rPr>
        <w:lastRenderedPageBreak/>
        <w:t>各公司成效评分的综合得分，并进行等非线性放大处理，即加权计算后的评分开方后乘以</w:t>
      </w:r>
      <w:r>
        <w:rPr>
          <w:rFonts w:ascii="Times New Roman" w:eastAsia="仿宋" w:hAnsi="Times New Roman" w:hint="eastAsia"/>
          <w:sz w:val="28"/>
          <w:szCs w:val="28"/>
        </w:rPr>
        <w:t>100</w:t>
      </w:r>
      <w:r>
        <w:rPr>
          <w:rFonts w:ascii="Times New Roman" w:eastAsia="仿宋" w:hAnsi="Times New Roman" w:hint="eastAsia"/>
          <w:sz w:val="28"/>
          <w:szCs w:val="28"/>
        </w:rPr>
        <w:t>，使得成效评分理论评分最高分为</w:t>
      </w:r>
      <w:r>
        <w:rPr>
          <w:rFonts w:ascii="Times New Roman" w:eastAsia="仿宋" w:hAnsi="Times New Roman" w:hint="eastAsia"/>
          <w:sz w:val="28"/>
          <w:szCs w:val="28"/>
        </w:rPr>
        <w:t xml:space="preserve">100 </w:t>
      </w:r>
      <w:r>
        <w:rPr>
          <w:rFonts w:ascii="Times New Roman" w:eastAsia="仿宋" w:hAnsi="Times New Roman" w:hint="eastAsia"/>
          <w:sz w:val="28"/>
          <w:szCs w:val="28"/>
        </w:rPr>
        <w:t>分。</w:t>
      </w:r>
    </w:p>
    <w:p w14:paraId="4897AB39"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石油公司</w:t>
      </w:r>
      <w:proofErr w:type="gramStart"/>
      <w:r>
        <w:rPr>
          <w:rFonts w:ascii="Times New Roman" w:eastAsia="仿宋" w:hAnsi="Times New Roman" w:hint="eastAsia"/>
          <w:sz w:val="28"/>
          <w:szCs w:val="28"/>
        </w:rPr>
        <w:t>转型成效</w:t>
      </w:r>
      <w:proofErr w:type="gramEnd"/>
      <w:r>
        <w:rPr>
          <w:rFonts w:ascii="Times New Roman" w:eastAsia="仿宋" w:hAnsi="Times New Roman" w:hint="eastAsia"/>
          <w:sz w:val="28"/>
          <w:szCs w:val="28"/>
        </w:rPr>
        <w:t>评分排名前十位的公司如图</w:t>
      </w:r>
      <w:r>
        <w:rPr>
          <w:rFonts w:ascii="Times New Roman" w:eastAsia="仿宋" w:hAnsi="Times New Roman" w:hint="eastAsia"/>
          <w:sz w:val="28"/>
          <w:szCs w:val="28"/>
        </w:rPr>
        <w:t>5</w:t>
      </w:r>
      <w:r>
        <w:rPr>
          <w:rFonts w:ascii="Times New Roman" w:eastAsia="仿宋" w:hAnsi="Times New Roman" w:hint="eastAsia"/>
          <w:sz w:val="28"/>
          <w:szCs w:val="28"/>
        </w:rPr>
        <w:t>所示：</w:t>
      </w:r>
    </w:p>
    <w:p w14:paraId="7D90790D" w14:textId="5A5B45BC" w:rsidR="00DF1225" w:rsidRDefault="00000000">
      <w:pPr>
        <w:widowControl/>
        <w:tabs>
          <w:tab w:val="left" w:pos="377"/>
        </w:tabs>
        <w:jc w:val="center"/>
        <w:rPr>
          <w:rFonts w:hint="eastAsia"/>
        </w:rPr>
      </w:pPr>
      <w:r>
        <w:rPr>
          <w:rFonts w:ascii="Times New Roman" w:eastAsia="仿宋" w:hAnsi="Times New Roman" w:hint="eastAsia"/>
          <w:noProof/>
        </w:rPr>
        <w:drawing>
          <wp:inline distT="0" distB="0" distL="114300" distR="114300" wp14:anchorId="35005E01" wp14:editId="6A23103F">
            <wp:extent cx="5274000" cy="2835634"/>
            <wp:effectExtent l="0" t="0" r="22860" b="16510"/>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11"/>
                    <a:stretch>
                      <a:fillRect/>
                    </a:stretch>
                  </pic:blipFill>
                  <pic:spPr>
                    <a:xfrm>
                      <a:off x="0" y="0"/>
                      <a:ext cx="5274000" cy="2835634"/>
                    </a:xfrm>
                    <a:prstGeom prst="rect">
                      <a:avLst/>
                    </a:prstGeom>
                    <a:noFill/>
                    <a:ln>
                      <a:noFill/>
                    </a:ln>
                  </pic:spPr>
                </pic:pic>
              </a:graphicData>
            </a:graphic>
          </wp:inline>
        </w:drawing>
      </w:r>
    </w:p>
    <w:p w14:paraId="305C4941" w14:textId="7A8F2A3D" w:rsidR="00DF1225" w:rsidRPr="001B2D69" w:rsidRDefault="00000000" w:rsidP="001B2D69">
      <w:pPr>
        <w:spacing w:afterLines="100" w:after="312" w:line="360" w:lineRule="auto"/>
        <w:jc w:val="center"/>
        <w:rPr>
          <w:rFonts w:ascii="Times New Roman" w:eastAsia="仿宋" w:hAnsi="Times New Roman"/>
          <w:b/>
          <w:bCs/>
          <w:sz w:val="24"/>
          <w:szCs w:val="24"/>
        </w:rPr>
      </w:pPr>
      <w:r>
        <w:rPr>
          <w:rFonts w:ascii="Times New Roman" w:eastAsia="仿宋" w:hAnsi="Times New Roman" w:hint="eastAsia"/>
          <w:b/>
          <w:bCs/>
          <w:sz w:val="24"/>
          <w:szCs w:val="24"/>
        </w:rPr>
        <w:t>图</w:t>
      </w:r>
      <w:r>
        <w:rPr>
          <w:rFonts w:ascii="Times New Roman" w:eastAsia="仿宋" w:hAnsi="Times New Roman" w:hint="eastAsia"/>
          <w:b/>
          <w:bCs/>
          <w:sz w:val="24"/>
          <w:szCs w:val="24"/>
        </w:rPr>
        <w:t xml:space="preserve">5 </w:t>
      </w:r>
      <w:r>
        <w:rPr>
          <w:rFonts w:ascii="Times New Roman" w:eastAsia="仿宋" w:hAnsi="Times New Roman" w:hint="eastAsia"/>
          <w:b/>
          <w:bCs/>
          <w:sz w:val="24"/>
          <w:szCs w:val="24"/>
        </w:rPr>
        <w:t>石油公司</w:t>
      </w:r>
      <w:proofErr w:type="gramStart"/>
      <w:r>
        <w:rPr>
          <w:rFonts w:ascii="Times New Roman" w:eastAsia="仿宋" w:hAnsi="Times New Roman" w:hint="eastAsia"/>
          <w:b/>
          <w:bCs/>
          <w:sz w:val="24"/>
          <w:szCs w:val="24"/>
        </w:rPr>
        <w:t>转型成效</w:t>
      </w:r>
      <w:proofErr w:type="gramEnd"/>
      <w:r>
        <w:rPr>
          <w:rFonts w:ascii="Times New Roman" w:eastAsia="仿宋" w:hAnsi="Times New Roman" w:hint="eastAsia"/>
          <w:b/>
          <w:bCs/>
          <w:sz w:val="24"/>
          <w:szCs w:val="24"/>
        </w:rPr>
        <w:t>评分排名前十名公司</w:t>
      </w:r>
    </w:p>
    <w:p w14:paraId="5F7310B0"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得分较高的公司的</w:t>
      </w:r>
      <w:proofErr w:type="gramStart"/>
      <w:r>
        <w:rPr>
          <w:rFonts w:ascii="Times New Roman" w:eastAsia="仿宋" w:hAnsi="Times New Roman" w:hint="eastAsia"/>
          <w:sz w:val="28"/>
          <w:szCs w:val="28"/>
        </w:rPr>
        <w:t>转型成效</w:t>
      </w:r>
      <w:proofErr w:type="gramEnd"/>
      <w:r>
        <w:rPr>
          <w:rFonts w:ascii="Times New Roman" w:eastAsia="仿宋" w:hAnsi="Times New Roman" w:hint="eastAsia"/>
          <w:sz w:val="28"/>
          <w:szCs w:val="28"/>
        </w:rPr>
        <w:t>优势来自当年的碳排放强度与年度改善的组合，挪威国家石油公司、日本帝国石油公司、印度国家石油公司、道达尔能源与西方石油属于强度较低且持续改善的类型，整体成效较为稳健。</w:t>
      </w:r>
      <w:proofErr w:type="spellStart"/>
      <w:r>
        <w:rPr>
          <w:rFonts w:ascii="Times New Roman" w:eastAsia="仿宋" w:hAnsi="Times New Roman" w:hint="eastAsia"/>
          <w:sz w:val="28"/>
          <w:szCs w:val="28"/>
        </w:rPr>
        <w:t>Ovintiv</w:t>
      </w:r>
      <w:proofErr w:type="spellEnd"/>
      <w:r>
        <w:rPr>
          <w:rFonts w:ascii="Times New Roman" w:eastAsia="仿宋" w:hAnsi="Times New Roman" w:hint="eastAsia"/>
          <w:sz w:val="28"/>
          <w:szCs w:val="28"/>
        </w:rPr>
        <w:t>和诺瓦泰克等公司则更多是凭借以上游为主的业务结构</w:t>
      </w:r>
      <w:proofErr w:type="gramStart"/>
      <w:r>
        <w:rPr>
          <w:rFonts w:ascii="Times New Roman" w:eastAsia="仿宋" w:hAnsi="Times New Roman" w:hint="eastAsia"/>
          <w:sz w:val="28"/>
          <w:szCs w:val="28"/>
        </w:rPr>
        <w:t>在年碳排放</w:t>
      </w:r>
      <w:proofErr w:type="gramEnd"/>
      <w:r>
        <w:rPr>
          <w:rFonts w:ascii="Times New Roman" w:eastAsia="仿宋" w:hAnsi="Times New Roman" w:hint="eastAsia"/>
          <w:sz w:val="28"/>
          <w:szCs w:val="28"/>
        </w:rPr>
        <w:t>强度上有较好的表现。埃尼、哈萨克斯坦国家石油天然气公司和埃克森美孚等则更多依托甲烷治理、能效提升与资产重构在碳强度下降层面获得了明显的改善。</w:t>
      </w:r>
    </w:p>
    <w:p w14:paraId="5C54141D"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结合整体企业的成效评分，评分位于中游的企业部分出现了单一维度不足的情况：如以</w:t>
      </w:r>
      <w:r>
        <w:rPr>
          <w:rFonts w:ascii="Times New Roman" w:eastAsia="仿宋" w:hAnsi="Times New Roman" w:hint="eastAsia"/>
          <w:sz w:val="28"/>
          <w:szCs w:val="28"/>
        </w:rPr>
        <w:t>Range</w:t>
      </w:r>
      <w:r>
        <w:rPr>
          <w:rFonts w:ascii="Times New Roman" w:eastAsia="仿宋" w:hAnsi="Times New Roman" w:hint="eastAsia"/>
          <w:sz w:val="28"/>
          <w:szCs w:val="28"/>
        </w:rPr>
        <w:t>资源和</w:t>
      </w:r>
      <w:r>
        <w:rPr>
          <w:rFonts w:ascii="Times New Roman" w:eastAsia="仿宋" w:hAnsi="Times New Roman" w:hint="eastAsia"/>
          <w:sz w:val="28"/>
          <w:szCs w:val="28"/>
        </w:rPr>
        <w:t>Antero</w:t>
      </w:r>
      <w:r>
        <w:rPr>
          <w:rFonts w:ascii="Times New Roman" w:eastAsia="仿宋" w:hAnsi="Times New Roman" w:hint="eastAsia"/>
          <w:sz w:val="28"/>
          <w:szCs w:val="28"/>
        </w:rPr>
        <w:t>资源为代表的企业整体碳排放强度较低，但年度改善不理想，体现了低基数情况下改进空间</w:t>
      </w:r>
      <w:r>
        <w:rPr>
          <w:rFonts w:ascii="Times New Roman" w:eastAsia="仿宋" w:hAnsi="Times New Roman" w:hint="eastAsia"/>
          <w:sz w:val="28"/>
          <w:szCs w:val="28"/>
        </w:rPr>
        <w:lastRenderedPageBreak/>
        <w:t>小，波动易被放大的情况。而多数位于中下游的企业整体业务边界较宽，炼化和化工等业务</w:t>
      </w:r>
      <w:proofErr w:type="gramStart"/>
      <w:r>
        <w:rPr>
          <w:rFonts w:ascii="Times New Roman" w:eastAsia="仿宋" w:hAnsi="Times New Roman" w:hint="eastAsia"/>
          <w:sz w:val="28"/>
          <w:szCs w:val="28"/>
        </w:rPr>
        <w:t>占比较</w:t>
      </w:r>
      <w:proofErr w:type="gramEnd"/>
      <w:r>
        <w:rPr>
          <w:rFonts w:ascii="Times New Roman" w:eastAsia="仿宋" w:hAnsi="Times New Roman" w:hint="eastAsia"/>
          <w:sz w:val="28"/>
          <w:szCs w:val="28"/>
        </w:rPr>
        <w:t>大，</w:t>
      </w:r>
      <w:proofErr w:type="gramStart"/>
      <w:r>
        <w:rPr>
          <w:rFonts w:ascii="Times New Roman" w:eastAsia="仿宋" w:hAnsi="Times New Roman" w:hint="eastAsia"/>
          <w:sz w:val="28"/>
          <w:szCs w:val="28"/>
        </w:rPr>
        <w:t>年碳强度</w:t>
      </w:r>
      <w:proofErr w:type="gramEnd"/>
      <w:r>
        <w:rPr>
          <w:rFonts w:ascii="Times New Roman" w:eastAsia="仿宋" w:hAnsi="Times New Roman" w:hint="eastAsia"/>
          <w:sz w:val="28"/>
          <w:szCs w:val="28"/>
        </w:rPr>
        <w:t>偏高且改善较为困难。</w:t>
      </w:r>
    </w:p>
    <w:p w14:paraId="2094971F" w14:textId="77777777" w:rsidR="00DF1225" w:rsidRDefault="00000000">
      <w:pPr>
        <w:spacing w:line="360" w:lineRule="auto"/>
        <w:ind w:firstLineChars="200" w:firstLine="560"/>
        <w:rPr>
          <w:rFonts w:ascii="Times New Roman" w:eastAsia="仿宋" w:hAnsi="Times New Roman"/>
          <w:sz w:val="28"/>
          <w:szCs w:val="28"/>
        </w:rPr>
      </w:pPr>
      <w:r>
        <w:rPr>
          <w:rFonts w:ascii="Times New Roman" w:eastAsia="仿宋" w:hAnsi="Times New Roman" w:hint="eastAsia"/>
          <w:sz w:val="28"/>
          <w:szCs w:val="28"/>
        </w:rPr>
        <w:t>总体分析来看，以上游业务为主的石油企业由于年度碳强度较低因此整体成效评分较为理想。欧洲国际石油公司整体成效表现较为突出，体现其资产组合与减排并重的优势，而欧洲以炼化化工为主的公司如奥地利石油天然气集团和雷普索尔主要源于其业务结构，整体成效评分较低。北美公司转型更多由自身资产条件与市场竞争驱动，因此整体位于</w:t>
      </w:r>
      <w:proofErr w:type="gramStart"/>
      <w:r>
        <w:rPr>
          <w:rFonts w:ascii="Times New Roman" w:eastAsia="仿宋" w:hAnsi="Times New Roman" w:hint="eastAsia"/>
          <w:sz w:val="28"/>
          <w:szCs w:val="28"/>
        </w:rPr>
        <w:t>中上但</w:t>
      </w:r>
      <w:proofErr w:type="gramEnd"/>
      <w:r>
        <w:rPr>
          <w:rFonts w:ascii="Times New Roman" w:eastAsia="仿宋" w:hAnsi="Times New Roman" w:hint="eastAsia"/>
          <w:sz w:val="28"/>
          <w:szCs w:val="28"/>
        </w:rPr>
        <w:t>其成效得分路径差异较大。拉美地区的国家石油公司如巴西和哥伦比亚国家石油公司，</w:t>
      </w:r>
      <w:proofErr w:type="gramStart"/>
      <w:r>
        <w:rPr>
          <w:rFonts w:ascii="Times New Roman" w:eastAsia="仿宋" w:hAnsi="Times New Roman" w:hint="eastAsia"/>
          <w:sz w:val="28"/>
          <w:szCs w:val="28"/>
        </w:rPr>
        <w:t>在成效</w:t>
      </w:r>
      <w:proofErr w:type="gramEnd"/>
      <w:r>
        <w:rPr>
          <w:rFonts w:ascii="Times New Roman" w:eastAsia="仿宋" w:hAnsi="Times New Roman" w:hint="eastAsia"/>
          <w:sz w:val="28"/>
          <w:szCs w:val="28"/>
        </w:rPr>
        <w:t>维度情况较为相近排名中上，而亚洲几家国家石油公司也更为相近，但排名靠后，主要由于其承担了全产业链与国家能源的保供，在炼化等环节排放强度更高。俄罗斯的石油公司则以国内的油气与管网资产为主，业务结构调整有限，因此在碳强度改善上表现较弱且位次靠后。</w:t>
      </w:r>
    </w:p>
    <w:p w14:paraId="7F763A07" w14:textId="77777777" w:rsidR="00DF1225" w:rsidRDefault="00000000">
      <w:pPr>
        <w:spacing w:line="360" w:lineRule="auto"/>
        <w:outlineLvl w:val="1"/>
        <w:rPr>
          <w:rFonts w:ascii="Times New Roman" w:eastAsia="仿宋" w:hAnsi="Times New Roman"/>
          <w:sz w:val="28"/>
          <w:szCs w:val="28"/>
        </w:rPr>
      </w:pPr>
      <w:r>
        <w:rPr>
          <w:rFonts w:ascii="Times New Roman" w:eastAsia="仿宋" w:hAnsi="Times New Roman" w:hint="eastAsia"/>
          <w:b/>
          <w:bCs/>
          <w:sz w:val="28"/>
          <w:szCs w:val="28"/>
        </w:rPr>
        <w:t>3.4</w:t>
      </w:r>
      <w:r>
        <w:rPr>
          <w:rFonts w:ascii="Times New Roman" w:eastAsia="仿宋" w:hAnsi="Times New Roman" w:hint="eastAsia"/>
          <w:b/>
          <w:bCs/>
          <w:sz w:val="28"/>
          <w:szCs w:val="28"/>
        </w:rPr>
        <w:t>综合“言行果”多维评价指标的石油公司能源转型指数</w:t>
      </w:r>
    </w:p>
    <w:p w14:paraId="759D2077" w14:textId="77777777" w:rsidR="00DF1225" w:rsidRDefault="00000000">
      <w:pPr>
        <w:widowControl/>
        <w:tabs>
          <w:tab w:val="left" w:pos="377"/>
        </w:tabs>
        <w:spacing w:line="360" w:lineRule="auto"/>
        <w:ind w:firstLineChars="200" w:firstLine="560"/>
        <w:rPr>
          <w:rFonts w:ascii="Times New Roman" w:eastAsia="仿宋" w:hAnsi="Times New Roman"/>
          <w:color w:val="000000" w:themeColor="text1"/>
          <w:sz w:val="28"/>
          <w:szCs w:val="28"/>
        </w:rPr>
      </w:pPr>
      <w:r>
        <w:rPr>
          <w:rFonts w:ascii="Times New Roman" w:eastAsia="仿宋" w:hAnsi="Times New Roman" w:hint="eastAsia"/>
          <w:color w:val="000000" w:themeColor="text1"/>
          <w:sz w:val="28"/>
          <w:szCs w:val="28"/>
        </w:rPr>
        <w:t>本报告通过</w:t>
      </w:r>
      <w:r>
        <w:rPr>
          <w:rFonts w:ascii="Times New Roman" w:eastAsia="仿宋" w:hAnsi="Times New Roman" w:hint="eastAsia"/>
          <w:color w:val="000000" w:themeColor="text1"/>
          <w:sz w:val="28"/>
          <w:szCs w:val="28"/>
        </w:rPr>
        <w:t>CRITIC</w:t>
      </w:r>
      <w:r>
        <w:rPr>
          <w:rFonts w:ascii="Times New Roman" w:eastAsia="仿宋" w:hAnsi="Times New Roman" w:hint="eastAsia"/>
          <w:color w:val="000000" w:themeColor="text1"/>
          <w:sz w:val="28"/>
          <w:szCs w:val="28"/>
        </w:rPr>
        <w:t>算法，对转型态度评分、行动评分、成效评分三维评分进行权重分配。具体公式如式（</w:t>
      </w:r>
      <w:r>
        <w:rPr>
          <w:rFonts w:ascii="Times New Roman" w:eastAsia="仿宋" w:hAnsi="Times New Roman" w:hint="eastAsia"/>
          <w:color w:val="000000" w:themeColor="text1"/>
          <w:sz w:val="28"/>
          <w:szCs w:val="28"/>
        </w:rPr>
        <w:t>6</w:t>
      </w:r>
      <w:r>
        <w:rPr>
          <w:rFonts w:ascii="Times New Roman" w:eastAsia="仿宋" w:hAnsi="Times New Roman" w:hint="eastAsia"/>
          <w:color w:val="000000" w:themeColor="text1"/>
          <w:sz w:val="28"/>
          <w:szCs w:val="28"/>
        </w:rPr>
        <w:t>），其中</w:t>
      </w:r>
      <m:oMath>
        <m:sSub>
          <m:sSubPr>
            <m:ctrlPr>
              <w:rPr>
                <w:rFonts w:ascii="DejaVu Math TeX Gyre" w:eastAsia="仿宋" w:hAnsi="DejaVu Math TeX Gyre" w:hint="eastAsia"/>
                <w:color w:val="000000" w:themeColor="text1"/>
                <w:sz w:val="28"/>
                <w:szCs w:val="28"/>
              </w:rPr>
            </m:ctrlPr>
          </m:sSubPr>
          <m:e>
            <m:r>
              <w:rPr>
                <w:rFonts w:ascii="Times New Roman" w:eastAsia="仿宋" w:hAnsi="Times New Roman" w:hint="eastAsia"/>
                <w:color w:val="000000" w:themeColor="text1"/>
                <w:sz w:val="28"/>
                <w:szCs w:val="28"/>
              </w:rPr>
              <m:t>σ</m:t>
            </m:r>
          </m:e>
          <m:sub>
            <m:r>
              <w:rPr>
                <w:rFonts w:ascii="Times New Roman" w:eastAsia="仿宋" w:hAnsi="Times New Roman" w:hint="eastAsia"/>
                <w:color w:val="000000" w:themeColor="text1"/>
                <w:sz w:val="28"/>
                <w:szCs w:val="28"/>
              </w:rPr>
              <m:t>j</m:t>
            </m:r>
          </m:sub>
        </m:sSub>
      </m:oMath>
      <w:r>
        <w:rPr>
          <w:rFonts w:ascii="Times New Roman" w:eastAsia="仿宋" w:hAnsi="Times New Roman" w:hint="eastAsia"/>
          <w:color w:val="000000" w:themeColor="text1"/>
          <w:sz w:val="28"/>
          <w:szCs w:val="28"/>
        </w:rPr>
        <w:t>为第</w:t>
      </w:r>
      <w:r>
        <w:rPr>
          <w:rFonts w:ascii="Times New Roman" w:eastAsia="仿宋" w:hAnsi="Times New Roman" w:hint="eastAsia"/>
          <w:color w:val="000000" w:themeColor="text1"/>
          <w:sz w:val="28"/>
          <w:szCs w:val="28"/>
        </w:rPr>
        <w:t>j</w:t>
      </w:r>
      <w:proofErr w:type="gramStart"/>
      <w:r>
        <w:rPr>
          <w:rFonts w:ascii="Times New Roman" w:eastAsia="仿宋" w:hAnsi="Times New Roman" w:hint="eastAsia"/>
          <w:color w:val="000000" w:themeColor="text1"/>
          <w:sz w:val="28"/>
          <w:szCs w:val="28"/>
        </w:rPr>
        <w:t>个</w:t>
      </w:r>
      <w:proofErr w:type="gramEnd"/>
      <w:r>
        <w:rPr>
          <w:rFonts w:ascii="Times New Roman" w:eastAsia="仿宋" w:hAnsi="Times New Roman" w:hint="eastAsia"/>
          <w:color w:val="000000" w:themeColor="text1"/>
          <w:sz w:val="28"/>
          <w:szCs w:val="28"/>
        </w:rPr>
        <w:t>指标的标准差，</w:t>
      </w:r>
      <m:oMath>
        <m:sSub>
          <m:sSubPr>
            <m:ctrlPr>
              <w:rPr>
                <w:rFonts w:ascii="DejaVu Math TeX Gyre" w:eastAsia="仿宋" w:hAnsi="DejaVu Math TeX Gyre" w:hint="eastAsia"/>
                <w:color w:val="000000" w:themeColor="text1"/>
                <w:sz w:val="28"/>
                <w:szCs w:val="28"/>
              </w:rPr>
            </m:ctrlPr>
          </m:sSubPr>
          <m:e>
            <m:r>
              <w:rPr>
                <w:rFonts w:ascii="Times New Roman" w:eastAsia="仿宋" w:hAnsi="Times New Roman" w:hint="eastAsia"/>
                <w:color w:val="000000" w:themeColor="text1"/>
                <w:sz w:val="28"/>
                <w:szCs w:val="28"/>
              </w:rPr>
              <m:t>r</m:t>
            </m:r>
          </m:e>
          <m:sub>
            <m:r>
              <w:rPr>
                <w:rFonts w:ascii="Times New Roman" w:eastAsia="仿宋" w:hAnsi="Times New Roman" w:hint="eastAsia"/>
                <w:color w:val="000000" w:themeColor="text1"/>
                <w:sz w:val="28"/>
                <w:szCs w:val="28"/>
              </w:rPr>
              <m:t>ij</m:t>
            </m:r>
          </m:sub>
        </m:sSub>
      </m:oMath>
      <w:r>
        <w:rPr>
          <w:rFonts w:ascii="Times New Roman" w:eastAsia="仿宋" w:hAnsi="Times New Roman" w:hint="eastAsia"/>
          <w:color w:val="000000" w:themeColor="text1"/>
          <w:sz w:val="28"/>
          <w:szCs w:val="28"/>
        </w:rPr>
        <w:t>表示第</w:t>
      </w:r>
      <w:proofErr w:type="spellStart"/>
      <w:r>
        <w:rPr>
          <w:rFonts w:ascii="Times New Roman" w:eastAsia="仿宋" w:hAnsi="Times New Roman" w:hint="eastAsia"/>
          <w:color w:val="000000" w:themeColor="text1"/>
          <w:sz w:val="28"/>
          <w:szCs w:val="28"/>
        </w:rPr>
        <w:t>i</w:t>
      </w:r>
      <w:proofErr w:type="spellEnd"/>
      <w:proofErr w:type="gramStart"/>
      <w:r>
        <w:rPr>
          <w:rFonts w:ascii="Times New Roman" w:eastAsia="仿宋" w:hAnsi="Times New Roman" w:hint="eastAsia"/>
          <w:color w:val="000000" w:themeColor="text1"/>
          <w:sz w:val="28"/>
          <w:szCs w:val="28"/>
        </w:rPr>
        <w:t>个</w:t>
      </w:r>
      <w:proofErr w:type="gramEnd"/>
      <w:r>
        <w:rPr>
          <w:rFonts w:ascii="Times New Roman" w:eastAsia="仿宋" w:hAnsi="Times New Roman" w:hint="eastAsia"/>
          <w:color w:val="000000" w:themeColor="text1"/>
          <w:sz w:val="28"/>
          <w:szCs w:val="28"/>
        </w:rPr>
        <w:t>指标与第</w:t>
      </w:r>
      <w:r>
        <w:rPr>
          <w:rFonts w:ascii="Times New Roman" w:eastAsia="仿宋" w:hAnsi="Times New Roman" w:hint="eastAsia"/>
          <w:color w:val="000000" w:themeColor="text1"/>
          <w:sz w:val="28"/>
          <w:szCs w:val="28"/>
        </w:rPr>
        <w:t>j</w:t>
      </w:r>
      <w:proofErr w:type="gramStart"/>
      <w:r>
        <w:rPr>
          <w:rFonts w:ascii="Times New Roman" w:eastAsia="仿宋" w:hAnsi="Times New Roman" w:hint="eastAsia"/>
          <w:color w:val="000000" w:themeColor="text1"/>
          <w:sz w:val="28"/>
          <w:szCs w:val="28"/>
        </w:rPr>
        <w:t>个</w:t>
      </w:r>
      <w:proofErr w:type="gramEnd"/>
      <w:r>
        <w:rPr>
          <w:rFonts w:ascii="Times New Roman" w:eastAsia="仿宋" w:hAnsi="Times New Roman" w:hint="eastAsia"/>
          <w:color w:val="000000" w:themeColor="text1"/>
          <w:sz w:val="28"/>
          <w:szCs w:val="28"/>
        </w:rPr>
        <w:t>指标之间的相关系数，</w:t>
      </w:r>
      <m:oMath>
        <m:sSub>
          <m:sSubPr>
            <m:ctrlPr>
              <w:rPr>
                <w:rFonts w:ascii="DejaVu Math TeX Gyre" w:eastAsia="仿宋" w:hAnsi="DejaVu Math TeX Gyre" w:hint="eastAsia"/>
                <w:color w:val="000000" w:themeColor="text1"/>
                <w:sz w:val="28"/>
                <w:szCs w:val="28"/>
              </w:rPr>
            </m:ctrlPr>
          </m:sSubPr>
          <m:e>
            <m:r>
              <w:rPr>
                <w:rFonts w:ascii="Times New Roman" w:eastAsia="仿宋" w:hAnsi="Times New Roman" w:hint="eastAsia"/>
                <w:color w:val="000000" w:themeColor="text1"/>
                <w:sz w:val="28"/>
                <w:szCs w:val="28"/>
              </w:rPr>
              <m:t>W</m:t>
            </m:r>
          </m:e>
          <m:sub>
            <m:r>
              <w:rPr>
                <w:rFonts w:ascii="Times New Roman" w:eastAsia="仿宋" w:hAnsi="Times New Roman" w:hint="eastAsia"/>
                <w:color w:val="000000" w:themeColor="text1"/>
                <w:sz w:val="28"/>
                <w:szCs w:val="28"/>
              </w:rPr>
              <m:t>CRITIC,j</m:t>
            </m:r>
          </m:sub>
        </m:sSub>
      </m:oMath>
      <w:r>
        <w:rPr>
          <w:rFonts w:ascii="Times New Roman" w:eastAsia="仿宋" w:hAnsi="Times New Roman" w:hint="eastAsia"/>
          <w:color w:val="000000" w:themeColor="text1"/>
          <w:sz w:val="28"/>
          <w:szCs w:val="28"/>
        </w:rPr>
        <w:t>即为第</w:t>
      </w:r>
      <w:r>
        <w:rPr>
          <w:rFonts w:ascii="Times New Roman" w:eastAsia="仿宋" w:hAnsi="Times New Roman" w:hint="eastAsia"/>
          <w:color w:val="000000" w:themeColor="text1"/>
          <w:sz w:val="28"/>
          <w:szCs w:val="28"/>
        </w:rPr>
        <w:t>j</w:t>
      </w:r>
      <w:proofErr w:type="gramStart"/>
      <w:r>
        <w:rPr>
          <w:rFonts w:ascii="Times New Roman" w:eastAsia="仿宋" w:hAnsi="Times New Roman" w:hint="eastAsia"/>
          <w:color w:val="000000" w:themeColor="text1"/>
          <w:sz w:val="28"/>
          <w:szCs w:val="28"/>
        </w:rPr>
        <w:t>个</w:t>
      </w:r>
      <w:proofErr w:type="gramEnd"/>
      <w:r>
        <w:rPr>
          <w:rFonts w:ascii="Times New Roman" w:eastAsia="仿宋" w:hAnsi="Times New Roman" w:hint="eastAsia"/>
          <w:color w:val="000000" w:themeColor="text1"/>
          <w:sz w:val="28"/>
          <w:szCs w:val="28"/>
        </w:rPr>
        <w:t>指标的</w:t>
      </w:r>
      <w:r>
        <w:rPr>
          <w:rFonts w:ascii="Times New Roman" w:eastAsia="仿宋" w:hAnsi="Times New Roman" w:hint="eastAsia"/>
          <w:color w:val="000000" w:themeColor="text1"/>
          <w:sz w:val="28"/>
          <w:szCs w:val="28"/>
        </w:rPr>
        <w:t>CRITIC</w:t>
      </w:r>
      <w:r>
        <w:rPr>
          <w:rFonts w:ascii="Times New Roman" w:eastAsia="仿宋" w:hAnsi="Times New Roman" w:hint="eastAsia"/>
          <w:color w:val="000000" w:themeColor="text1"/>
          <w:sz w:val="28"/>
          <w:szCs w:val="28"/>
        </w:rPr>
        <w:t>算法权重。</w:t>
      </w: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63"/>
        <w:gridCol w:w="1089"/>
      </w:tblGrid>
      <w:tr w:rsidR="00DF1225" w14:paraId="561BF5A5" w14:textId="77777777">
        <w:trPr>
          <w:jc w:val="center"/>
        </w:trPr>
        <w:tc>
          <w:tcPr>
            <w:tcW w:w="6763" w:type="dxa"/>
            <w:vAlign w:val="center"/>
          </w:tcPr>
          <w:p w14:paraId="27F3743C" w14:textId="77777777" w:rsidR="00DF1225" w:rsidRDefault="00000000">
            <w:pPr>
              <w:widowControl/>
              <w:tabs>
                <w:tab w:val="left" w:pos="377"/>
              </w:tabs>
              <w:spacing w:line="300" w:lineRule="auto"/>
              <w:jc w:val="center"/>
              <w:rPr>
                <w:rFonts w:ascii="Times New Roman" w:eastAsia="仿宋" w:hAnsi="Times New Roman"/>
                <w:i/>
                <w:iCs/>
                <w:sz w:val="24"/>
                <w:szCs w:val="24"/>
              </w:rPr>
            </w:pPr>
            <m:oMathPara>
              <m:oMath>
                <m:sSub>
                  <m:sSubPr>
                    <m:ctrlPr>
                      <w:rPr>
                        <w:rFonts w:ascii="Cambria Math" w:eastAsia="宋体" w:hAnsi="Cambria Math"/>
                        <w:i/>
                        <w:kern w:val="0"/>
                        <w:sz w:val="20"/>
                        <w:szCs w:val="20"/>
                      </w:rPr>
                    </m:ctrlPr>
                  </m:sSubPr>
                  <m:e>
                    <m:r>
                      <w:rPr>
                        <w:rFonts w:ascii="Cambria Math" w:eastAsia="宋体" w:hAnsi="Cambria Math"/>
                        <w:kern w:val="0"/>
                        <w:sz w:val="20"/>
                        <w:szCs w:val="20"/>
                      </w:rPr>
                      <m:t>W</m:t>
                    </m:r>
                  </m:e>
                  <m:sub>
                    <m:r>
                      <w:rPr>
                        <w:rFonts w:ascii="Cambria Math" w:eastAsia="宋体" w:hAnsi="Cambria Math"/>
                        <w:kern w:val="0"/>
                        <w:sz w:val="20"/>
                        <w:szCs w:val="20"/>
                      </w:rPr>
                      <m:t>CRITIC,j</m:t>
                    </m:r>
                  </m:sub>
                </m:sSub>
                <m:r>
                  <w:rPr>
                    <w:rFonts w:ascii="Cambria Math" w:eastAsia="宋体" w:hAnsi="Cambria Math"/>
                    <w:kern w:val="0"/>
                    <w:sz w:val="20"/>
                    <w:szCs w:val="20"/>
                  </w:rPr>
                  <m:t>=</m:t>
                </m:r>
                <m:f>
                  <m:fPr>
                    <m:ctrlPr>
                      <w:rPr>
                        <w:rFonts w:ascii="Cambria Math" w:eastAsia="宋体" w:hAnsi="Cambria Math"/>
                        <w:i/>
                        <w:kern w:val="0"/>
                        <w:sz w:val="20"/>
                        <w:szCs w:val="20"/>
                      </w:rPr>
                    </m:ctrlPr>
                  </m:fPr>
                  <m:num>
                    <m:sSub>
                      <m:sSubPr>
                        <m:ctrlPr>
                          <w:rPr>
                            <w:rFonts w:ascii="Cambria Math" w:eastAsia="宋体" w:hAnsi="Cambria Math"/>
                            <w:i/>
                            <w:kern w:val="0"/>
                            <w:sz w:val="20"/>
                            <w:szCs w:val="20"/>
                          </w:rPr>
                        </m:ctrlPr>
                      </m:sSubPr>
                      <m:e>
                        <m:r>
                          <w:rPr>
                            <w:rFonts w:ascii="Cambria Math" w:eastAsia="宋体" w:hAnsi="Cambria Math"/>
                            <w:kern w:val="0"/>
                            <w:sz w:val="20"/>
                            <w:szCs w:val="20"/>
                          </w:rPr>
                          <m:t>σ</m:t>
                        </m:r>
                      </m:e>
                      <m:sub>
                        <m:r>
                          <w:rPr>
                            <w:rFonts w:ascii="Cambria Math" w:eastAsia="宋体" w:hAnsi="Cambria Math"/>
                            <w:kern w:val="0"/>
                            <w:sz w:val="20"/>
                            <w:szCs w:val="20"/>
                          </w:rPr>
                          <m:t>j</m:t>
                        </m:r>
                      </m:sub>
                    </m:sSub>
                    <m:nary>
                      <m:naryPr>
                        <m:chr m:val="∑"/>
                        <m:limLoc m:val="undOvr"/>
                        <m:ctrlPr>
                          <w:rPr>
                            <w:rFonts w:ascii="Cambria Math" w:eastAsia="宋体" w:hAnsi="Cambria Math"/>
                            <w:i/>
                            <w:kern w:val="0"/>
                            <w:sz w:val="20"/>
                            <w:szCs w:val="20"/>
                          </w:rPr>
                        </m:ctrlPr>
                      </m:naryPr>
                      <m:sub>
                        <m:r>
                          <w:rPr>
                            <w:rFonts w:ascii="Cambria Math" w:eastAsia="宋体" w:hAnsi="Cambria Math"/>
                            <w:kern w:val="0"/>
                            <w:sz w:val="20"/>
                            <w:szCs w:val="20"/>
                          </w:rPr>
                          <m:t>i=1</m:t>
                        </m:r>
                      </m:sub>
                      <m:sup>
                        <m:r>
                          <w:rPr>
                            <w:rFonts w:ascii="Cambria Math" w:eastAsia="宋体" w:hAnsi="Cambria Math"/>
                            <w:kern w:val="0"/>
                            <w:sz w:val="20"/>
                            <w:szCs w:val="20"/>
                          </w:rPr>
                          <m:t>n</m:t>
                        </m:r>
                      </m:sup>
                      <m:e>
                        <m:d>
                          <m:dPr>
                            <m:ctrlPr>
                              <w:rPr>
                                <w:rFonts w:ascii="Cambria Math" w:eastAsia="宋体" w:hAnsi="Cambria Math"/>
                                <w:i/>
                                <w:kern w:val="0"/>
                                <w:sz w:val="20"/>
                                <w:szCs w:val="20"/>
                              </w:rPr>
                            </m:ctrlPr>
                          </m:dPr>
                          <m:e>
                            <m:r>
                              <w:rPr>
                                <w:rFonts w:ascii="Cambria Math" w:eastAsia="宋体" w:hAnsi="Cambria Math"/>
                                <w:kern w:val="0"/>
                                <w:sz w:val="20"/>
                                <w:szCs w:val="20"/>
                              </w:rPr>
                              <m:t>1-</m:t>
                            </m:r>
                            <m:sSub>
                              <m:sSubPr>
                                <m:ctrlPr>
                                  <w:rPr>
                                    <w:rFonts w:ascii="Cambria Math" w:eastAsia="宋体" w:hAnsi="Cambria Math"/>
                                    <w:i/>
                                    <w:kern w:val="0"/>
                                    <w:sz w:val="20"/>
                                    <w:szCs w:val="20"/>
                                  </w:rPr>
                                </m:ctrlPr>
                              </m:sSubPr>
                              <m:e>
                                <m:r>
                                  <w:rPr>
                                    <w:rFonts w:ascii="Cambria Math" w:eastAsia="宋体" w:hAnsi="Cambria Math"/>
                                    <w:kern w:val="0"/>
                                    <w:sz w:val="20"/>
                                    <w:szCs w:val="20"/>
                                  </w:rPr>
                                  <m:t>r</m:t>
                                </m:r>
                              </m:e>
                              <m:sub>
                                <m:r>
                                  <w:rPr>
                                    <w:rFonts w:ascii="Cambria Math" w:eastAsia="宋体" w:hAnsi="Cambria Math"/>
                                    <w:kern w:val="0"/>
                                    <w:sz w:val="20"/>
                                    <w:szCs w:val="20"/>
                                  </w:rPr>
                                  <m:t>ij</m:t>
                                </m:r>
                              </m:sub>
                            </m:sSub>
                          </m:e>
                        </m:d>
                      </m:e>
                    </m:nary>
                  </m:num>
                  <m:den>
                    <m:nary>
                      <m:naryPr>
                        <m:chr m:val="∑"/>
                        <m:limLoc m:val="undOvr"/>
                        <m:ctrlPr>
                          <w:rPr>
                            <w:rFonts w:ascii="Cambria Math" w:eastAsia="宋体" w:hAnsi="Cambria Math"/>
                            <w:i/>
                            <w:kern w:val="0"/>
                            <w:sz w:val="20"/>
                            <w:szCs w:val="20"/>
                          </w:rPr>
                        </m:ctrlPr>
                      </m:naryPr>
                      <m:sub>
                        <m:r>
                          <w:rPr>
                            <w:rFonts w:ascii="Cambria Math" w:eastAsia="宋体" w:hAnsi="Cambria Math"/>
                            <w:kern w:val="0"/>
                            <w:sz w:val="20"/>
                            <w:szCs w:val="20"/>
                          </w:rPr>
                          <m:t>j=1</m:t>
                        </m:r>
                      </m:sub>
                      <m:sup>
                        <m:r>
                          <w:rPr>
                            <w:rFonts w:ascii="Cambria Math" w:eastAsia="宋体" w:hAnsi="Cambria Math"/>
                            <w:kern w:val="0"/>
                            <w:sz w:val="20"/>
                            <w:szCs w:val="20"/>
                          </w:rPr>
                          <m:t>n</m:t>
                        </m:r>
                      </m:sup>
                      <m:e>
                        <m:d>
                          <m:dPr>
                            <m:begChr m:val="["/>
                            <m:endChr m:val="]"/>
                            <m:ctrlPr>
                              <w:rPr>
                                <w:rFonts w:ascii="Cambria Math" w:eastAsia="宋体" w:hAnsi="Cambria Math"/>
                                <w:i/>
                                <w:kern w:val="0"/>
                                <w:sz w:val="20"/>
                                <w:szCs w:val="20"/>
                              </w:rPr>
                            </m:ctrlPr>
                          </m:dPr>
                          <m:e>
                            <m:sSub>
                              <m:sSubPr>
                                <m:ctrlPr>
                                  <w:rPr>
                                    <w:rFonts w:ascii="Cambria Math" w:eastAsia="宋体" w:hAnsi="Cambria Math"/>
                                    <w:i/>
                                    <w:kern w:val="0"/>
                                    <w:sz w:val="20"/>
                                    <w:szCs w:val="20"/>
                                  </w:rPr>
                                </m:ctrlPr>
                              </m:sSubPr>
                              <m:e>
                                <m:r>
                                  <w:rPr>
                                    <w:rFonts w:ascii="Cambria Math" w:eastAsia="宋体" w:hAnsi="Cambria Math"/>
                                    <w:kern w:val="0"/>
                                    <w:sz w:val="20"/>
                                    <w:szCs w:val="20"/>
                                  </w:rPr>
                                  <m:t>σ</m:t>
                                </m:r>
                              </m:e>
                              <m:sub>
                                <m:r>
                                  <w:rPr>
                                    <w:rFonts w:ascii="Cambria Math" w:eastAsia="宋体" w:hAnsi="Cambria Math"/>
                                    <w:kern w:val="0"/>
                                    <w:sz w:val="20"/>
                                    <w:szCs w:val="20"/>
                                  </w:rPr>
                                  <m:t>j</m:t>
                                </m:r>
                              </m:sub>
                            </m:sSub>
                            <m:nary>
                              <m:naryPr>
                                <m:chr m:val="∑"/>
                                <m:limLoc m:val="undOvr"/>
                                <m:ctrlPr>
                                  <w:rPr>
                                    <w:rFonts w:ascii="Cambria Math" w:eastAsia="宋体" w:hAnsi="Cambria Math"/>
                                    <w:i/>
                                    <w:kern w:val="0"/>
                                    <w:sz w:val="20"/>
                                    <w:szCs w:val="20"/>
                                  </w:rPr>
                                </m:ctrlPr>
                              </m:naryPr>
                              <m:sub>
                                <m:r>
                                  <w:rPr>
                                    <w:rFonts w:ascii="Cambria Math" w:eastAsia="宋体" w:hAnsi="Cambria Math"/>
                                    <w:kern w:val="0"/>
                                    <w:sz w:val="20"/>
                                    <w:szCs w:val="20"/>
                                  </w:rPr>
                                  <m:t>i=1</m:t>
                                </m:r>
                              </m:sub>
                              <m:sup>
                                <m:r>
                                  <w:rPr>
                                    <w:rFonts w:ascii="Cambria Math" w:eastAsia="宋体" w:hAnsi="Cambria Math"/>
                                    <w:kern w:val="0"/>
                                    <w:sz w:val="20"/>
                                    <w:szCs w:val="20"/>
                                  </w:rPr>
                                  <m:t>n</m:t>
                                </m:r>
                              </m:sup>
                              <m:e>
                                <m:d>
                                  <m:dPr>
                                    <m:ctrlPr>
                                      <w:rPr>
                                        <w:rFonts w:ascii="Cambria Math" w:eastAsia="宋体" w:hAnsi="Cambria Math"/>
                                        <w:i/>
                                        <w:kern w:val="0"/>
                                        <w:sz w:val="20"/>
                                        <w:szCs w:val="20"/>
                                      </w:rPr>
                                    </m:ctrlPr>
                                  </m:dPr>
                                  <m:e>
                                    <m:r>
                                      <w:rPr>
                                        <w:rFonts w:ascii="Cambria Math" w:eastAsia="宋体" w:hAnsi="Cambria Math"/>
                                        <w:kern w:val="0"/>
                                        <w:sz w:val="20"/>
                                        <w:szCs w:val="20"/>
                                      </w:rPr>
                                      <m:t>1-</m:t>
                                    </m:r>
                                    <m:sSub>
                                      <m:sSubPr>
                                        <m:ctrlPr>
                                          <w:rPr>
                                            <w:rFonts w:ascii="Cambria Math" w:eastAsia="宋体" w:hAnsi="Cambria Math"/>
                                            <w:i/>
                                            <w:kern w:val="0"/>
                                            <w:sz w:val="20"/>
                                            <w:szCs w:val="20"/>
                                          </w:rPr>
                                        </m:ctrlPr>
                                      </m:sSubPr>
                                      <m:e>
                                        <m:r>
                                          <w:rPr>
                                            <w:rFonts w:ascii="Cambria Math" w:eastAsia="宋体" w:hAnsi="Cambria Math"/>
                                            <w:kern w:val="0"/>
                                            <w:sz w:val="20"/>
                                            <w:szCs w:val="20"/>
                                          </w:rPr>
                                          <m:t>r</m:t>
                                        </m:r>
                                      </m:e>
                                      <m:sub>
                                        <m:r>
                                          <w:rPr>
                                            <w:rFonts w:ascii="Cambria Math" w:eastAsia="宋体" w:hAnsi="Cambria Math"/>
                                            <w:kern w:val="0"/>
                                            <w:sz w:val="20"/>
                                            <w:szCs w:val="20"/>
                                          </w:rPr>
                                          <m:t>ij</m:t>
                                        </m:r>
                                      </m:sub>
                                    </m:sSub>
                                  </m:e>
                                </m:d>
                              </m:e>
                            </m:nary>
                          </m:e>
                        </m:d>
                      </m:e>
                    </m:nary>
                  </m:den>
                </m:f>
              </m:oMath>
            </m:oMathPara>
          </w:p>
        </w:tc>
        <w:tc>
          <w:tcPr>
            <w:tcW w:w="1089" w:type="dxa"/>
            <w:vAlign w:val="center"/>
          </w:tcPr>
          <w:p w14:paraId="41BEF724" w14:textId="77777777" w:rsidR="00DF1225" w:rsidRDefault="00000000">
            <w:pPr>
              <w:widowControl/>
              <w:tabs>
                <w:tab w:val="left" w:pos="377"/>
              </w:tabs>
              <w:spacing w:line="300" w:lineRule="auto"/>
              <w:rPr>
                <w:rFonts w:ascii="Times New Roman" w:eastAsia="仿宋" w:hAnsi="Times New Roman"/>
                <w:sz w:val="28"/>
                <w:szCs w:val="28"/>
              </w:rPr>
            </w:pPr>
            <w:r>
              <w:rPr>
                <w:rFonts w:ascii="Times New Roman" w:eastAsia="仿宋" w:hAnsi="Times New Roman" w:hint="eastAsia"/>
                <w:sz w:val="28"/>
                <w:szCs w:val="28"/>
              </w:rPr>
              <w:t>（</w:t>
            </w:r>
            <w:r>
              <w:rPr>
                <w:rFonts w:ascii="Times New Roman" w:eastAsia="仿宋" w:hAnsi="Times New Roman" w:hint="eastAsia"/>
                <w:sz w:val="28"/>
                <w:szCs w:val="28"/>
              </w:rPr>
              <w:t>6</w:t>
            </w:r>
            <w:r>
              <w:rPr>
                <w:rFonts w:ascii="Times New Roman" w:eastAsia="仿宋" w:hAnsi="Times New Roman" w:hint="eastAsia"/>
                <w:sz w:val="28"/>
                <w:szCs w:val="28"/>
              </w:rPr>
              <w:t>）</w:t>
            </w:r>
          </w:p>
        </w:tc>
      </w:tr>
    </w:tbl>
    <w:p w14:paraId="09ABA56B" w14:textId="77777777" w:rsidR="00DF1225" w:rsidRDefault="00000000">
      <w:pPr>
        <w:widowControl/>
        <w:tabs>
          <w:tab w:val="left" w:pos="377"/>
        </w:tabs>
        <w:spacing w:line="360" w:lineRule="auto"/>
        <w:ind w:firstLineChars="200" w:firstLine="560"/>
        <w:rPr>
          <w:rFonts w:ascii="Times New Roman" w:eastAsia="仿宋" w:hAnsi="Times New Roman"/>
          <w:kern w:val="0"/>
          <w:sz w:val="28"/>
          <w:szCs w:val="28"/>
        </w:rPr>
      </w:pPr>
      <w:r>
        <w:rPr>
          <w:rFonts w:ascii="Times New Roman" w:eastAsia="仿宋" w:hAnsi="Times New Roman" w:hint="eastAsia"/>
          <w:color w:val="000000" w:themeColor="text1"/>
          <w:sz w:val="28"/>
          <w:szCs w:val="28"/>
        </w:rPr>
        <w:t>最终计算结果得出态度评分、行动评分、成效评分的权重分别为</w:t>
      </w:r>
      <w:r>
        <w:rPr>
          <w:rFonts w:ascii="Times New Roman" w:eastAsia="仿宋" w:hAnsi="Times New Roman" w:hint="eastAsia"/>
          <w:color w:val="000000" w:themeColor="text1"/>
          <w:sz w:val="28"/>
          <w:szCs w:val="28"/>
        </w:rPr>
        <w:t>34.81%</w:t>
      </w:r>
      <w:r>
        <w:rPr>
          <w:rFonts w:ascii="Times New Roman" w:eastAsia="仿宋" w:hAnsi="Times New Roman" w:hint="eastAsia"/>
          <w:color w:val="000000" w:themeColor="text1"/>
          <w:sz w:val="28"/>
          <w:szCs w:val="28"/>
        </w:rPr>
        <w:t>、</w:t>
      </w:r>
      <w:r>
        <w:rPr>
          <w:rFonts w:ascii="Times New Roman" w:eastAsia="仿宋" w:hAnsi="Times New Roman" w:hint="eastAsia"/>
          <w:color w:val="000000" w:themeColor="text1"/>
          <w:sz w:val="28"/>
          <w:szCs w:val="28"/>
        </w:rPr>
        <w:t>41.94%</w:t>
      </w:r>
      <w:r>
        <w:rPr>
          <w:rFonts w:ascii="Times New Roman" w:eastAsia="仿宋" w:hAnsi="Times New Roman" w:hint="eastAsia"/>
          <w:color w:val="000000" w:themeColor="text1"/>
          <w:sz w:val="28"/>
          <w:szCs w:val="28"/>
        </w:rPr>
        <w:t>、</w:t>
      </w:r>
      <w:r>
        <w:rPr>
          <w:rFonts w:ascii="Times New Roman" w:eastAsia="仿宋" w:hAnsi="Times New Roman" w:hint="eastAsia"/>
          <w:color w:val="000000" w:themeColor="text1"/>
          <w:sz w:val="28"/>
          <w:szCs w:val="28"/>
        </w:rPr>
        <w:t>23.25%</w:t>
      </w:r>
      <w:r>
        <w:rPr>
          <w:rFonts w:ascii="Times New Roman" w:eastAsia="仿宋" w:hAnsi="Times New Roman" w:hint="eastAsia"/>
          <w:color w:val="000000" w:themeColor="text1"/>
          <w:sz w:val="28"/>
          <w:szCs w:val="28"/>
        </w:rPr>
        <w:t>。通过综合评价法计算后，得出各石油公司低碳转型的综合指数。在本报告中</w:t>
      </w:r>
      <w:r>
        <w:rPr>
          <w:rFonts w:ascii="Times New Roman" w:eastAsia="仿宋" w:hAnsi="Times New Roman" w:hint="eastAsia"/>
          <w:sz w:val="28"/>
          <w:szCs w:val="28"/>
        </w:rPr>
        <w:t>指数越大，表明</w:t>
      </w:r>
      <w:r>
        <w:rPr>
          <w:rFonts w:ascii="Times New Roman" w:eastAsia="仿宋" w:hAnsi="Times New Roman" w:hint="eastAsia"/>
          <w:color w:val="000000" w:themeColor="text1"/>
          <w:sz w:val="28"/>
          <w:szCs w:val="28"/>
        </w:rPr>
        <w:t>该公司的低碳转</w:t>
      </w:r>
      <w:r>
        <w:rPr>
          <w:rFonts w:ascii="Times New Roman" w:eastAsia="仿宋" w:hAnsi="Times New Roman" w:hint="eastAsia"/>
          <w:color w:val="000000" w:themeColor="text1"/>
          <w:sz w:val="28"/>
          <w:szCs w:val="28"/>
        </w:rPr>
        <w:lastRenderedPageBreak/>
        <w:t>型态度越积极、进行越快、效果越好。</w:t>
      </w:r>
      <w:r>
        <w:rPr>
          <w:rFonts w:ascii="Times New Roman" w:eastAsia="仿宋" w:hAnsi="Times New Roman" w:hint="eastAsia"/>
          <w:sz w:val="28"/>
          <w:szCs w:val="28"/>
        </w:rPr>
        <w:t>各国际石油公司在应对气候变化的</w:t>
      </w:r>
      <w:proofErr w:type="gramStart"/>
      <w:r>
        <w:rPr>
          <w:rFonts w:ascii="Times New Roman" w:eastAsia="仿宋" w:hAnsi="Times New Roman" w:hint="eastAsia"/>
          <w:sz w:val="28"/>
          <w:szCs w:val="28"/>
        </w:rPr>
        <w:t>转型指数</w:t>
      </w:r>
      <w:proofErr w:type="gramEnd"/>
      <w:r>
        <w:rPr>
          <w:rFonts w:ascii="Times New Roman" w:eastAsia="仿宋" w:hAnsi="Times New Roman" w:hint="eastAsia"/>
          <w:sz w:val="28"/>
          <w:szCs w:val="28"/>
        </w:rPr>
        <w:t>如表</w:t>
      </w:r>
      <w:r>
        <w:rPr>
          <w:rFonts w:ascii="Times New Roman" w:eastAsia="仿宋" w:hAnsi="Times New Roman" w:hint="eastAsia"/>
          <w:sz w:val="28"/>
          <w:szCs w:val="28"/>
        </w:rPr>
        <w:t>3</w:t>
      </w:r>
      <w:r>
        <w:rPr>
          <w:rFonts w:ascii="Times New Roman" w:eastAsia="仿宋" w:hAnsi="Times New Roman" w:hint="eastAsia"/>
          <w:sz w:val="28"/>
          <w:szCs w:val="28"/>
        </w:rPr>
        <w:t>所示。</w:t>
      </w:r>
    </w:p>
    <w:p w14:paraId="18F5B19F" w14:textId="77777777" w:rsidR="00DF1225" w:rsidRDefault="00000000">
      <w:pPr>
        <w:widowControl/>
        <w:tabs>
          <w:tab w:val="left" w:pos="377"/>
        </w:tabs>
        <w:spacing w:line="360" w:lineRule="auto"/>
        <w:ind w:firstLineChars="200" w:firstLine="560"/>
        <w:rPr>
          <w:rFonts w:ascii="Times New Roman" w:eastAsia="仿宋" w:hAnsi="Times New Roman"/>
          <w:kern w:val="0"/>
          <w:sz w:val="28"/>
          <w:szCs w:val="28"/>
        </w:rPr>
      </w:pPr>
      <w:r>
        <w:rPr>
          <w:rFonts w:ascii="Times New Roman" w:eastAsia="仿宋" w:hAnsi="Times New Roman" w:hint="eastAsia"/>
          <w:sz w:val="28"/>
          <w:szCs w:val="28"/>
        </w:rPr>
        <w:t>综合分析转型指数，可以发现不同石油公司处于差异化的转型阶段。</w:t>
      </w:r>
      <w:proofErr w:type="gramStart"/>
      <w:r>
        <w:rPr>
          <w:rFonts w:ascii="Times New Roman" w:eastAsia="仿宋" w:hAnsi="Times New Roman" w:hint="eastAsia"/>
          <w:sz w:val="28"/>
          <w:szCs w:val="28"/>
        </w:rPr>
        <w:t>转型指数</w:t>
      </w:r>
      <w:proofErr w:type="gramEnd"/>
      <w:r>
        <w:rPr>
          <w:rFonts w:ascii="Times New Roman" w:eastAsia="仿宋" w:hAnsi="Times New Roman" w:hint="eastAsia"/>
          <w:sz w:val="28"/>
          <w:szCs w:val="28"/>
        </w:rPr>
        <w:t>最高的几家公司低碳业务初成规模且持续运转，方向、目标和结果彼此支撑。此外，这些企业在具体的转型实践链路上都各有特点：埃尼将可再生发电与售电、生物燃料和</w:t>
      </w:r>
      <w:proofErr w:type="gramStart"/>
      <w:r>
        <w:rPr>
          <w:rFonts w:ascii="Times New Roman" w:eastAsia="仿宋" w:hAnsi="Times New Roman" w:hint="eastAsia"/>
          <w:sz w:val="28"/>
          <w:szCs w:val="28"/>
        </w:rPr>
        <w:t>碳捕集</w:t>
      </w:r>
      <w:proofErr w:type="gramEnd"/>
      <w:r>
        <w:rPr>
          <w:rFonts w:ascii="Times New Roman" w:eastAsia="仿宋" w:hAnsi="Times New Roman" w:hint="eastAsia"/>
          <w:sz w:val="28"/>
          <w:szCs w:val="28"/>
        </w:rPr>
        <w:t>与封存拆分为独立平台公司，对接客户并引入外部资本，在对外沟通以经营和资本计划为主，企业油气资产的能效持续改善；日本帝国石油公司将</w:t>
      </w:r>
      <w:r>
        <w:rPr>
          <w:rFonts w:ascii="Times New Roman" w:eastAsia="仿宋" w:hAnsi="Times New Roman" w:hint="eastAsia"/>
          <w:sz w:val="28"/>
          <w:szCs w:val="28"/>
        </w:rPr>
        <w:t>CCS</w:t>
      </w:r>
      <w:r>
        <w:rPr>
          <w:rFonts w:ascii="Times New Roman" w:eastAsia="仿宋" w:hAnsi="Times New Roman" w:hint="eastAsia"/>
          <w:sz w:val="28"/>
          <w:szCs w:val="28"/>
        </w:rPr>
        <w:t>和氢氨等项目纳入长期战略加以阐述，行动上推进柏崎氢能园区，整体碳排放强度持续下降；道达尔能源将可再生发电、储能与售电组成的综合电力与油气和</w:t>
      </w:r>
      <w:r>
        <w:rPr>
          <w:rFonts w:ascii="Times New Roman" w:eastAsia="仿宋" w:hAnsi="Times New Roman" w:hint="eastAsia"/>
          <w:sz w:val="28"/>
          <w:szCs w:val="28"/>
        </w:rPr>
        <w:t>LNG</w:t>
      </w:r>
      <w:r>
        <w:rPr>
          <w:rFonts w:ascii="Times New Roman" w:eastAsia="仿宋" w:hAnsi="Times New Roman" w:hint="eastAsia"/>
          <w:sz w:val="28"/>
          <w:szCs w:val="28"/>
        </w:rPr>
        <w:t>产业并行，建设能源安全与低碳增长兼顾的综合能源组合；挪威国家石油公司将近海工程能力延伸到海上风电与</w:t>
      </w:r>
      <w:r>
        <w:rPr>
          <w:rFonts w:ascii="Times New Roman" w:eastAsia="仿宋" w:hAnsi="Times New Roman" w:hint="eastAsia"/>
          <w:sz w:val="28"/>
          <w:szCs w:val="28"/>
        </w:rPr>
        <w:t>CCUS</w:t>
      </w:r>
      <w:r>
        <w:rPr>
          <w:rFonts w:ascii="Times New Roman" w:eastAsia="仿宋" w:hAnsi="Times New Roman" w:hint="eastAsia"/>
          <w:sz w:val="28"/>
          <w:szCs w:val="28"/>
        </w:rPr>
        <w:t>等项目，同时强调项目盈利与资本回报，展现务实的转型投资态度；西方石油则依托</w:t>
      </w:r>
      <w:proofErr w:type="gramStart"/>
      <w:r>
        <w:rPr>
          <w:rFonts w:ascii="Times New Roman" w:eastAsia="仿宋" w:hAnsi="Times New Roman" w:hint="eastAsia"/>
          <w:sz w:val="28"/>
          <w:szCs w:val="28"/>
        </w:rPr>
        <w:t>二氧化碳驱动油封存</w:t>
      </w:r>
      <w:proofErr w:type="gramEnd"/>
      <w:r>
        <w:rPr>
          <w:rFonts w:ascii="Times New Roman" w:eastAsia="仿宋" w:hAnsi="Times New Roman" w:hint="eastAsia"/>
          <w:sz w:val="28"/>
          <w:szCs w:val="28"/>
        </w:rPr>
        <w:t>技术经验，</w:t>
      </w:r>
      <w:proofErr w:type="gramStart"/>
      <w:r>
        <w:rPr>
          <w:rFonts w:ascii="Times New Roman" w:eastAsia="仿宋" w:hAnsi="Times New Roman" w:hint="eastAsia"/>
          <w:sz w:val="28"/>
          <w:szCs w:val="28"/>
        </w:rPr>
        <w:t>将碳管理</w:t>
      </w:r>
      <w:proofErr w:type="gramEnd"/>
      <w:r>
        <w:rPr>
          <w:rFonts w:ascii="Times New Roman" w:eastAsia="仿宋" w:hAnsi="Times New Roman" w:hint="eastAsia"/>
          <w:sz w:val="28"/>
          <w:szCs w:val="28"/>
        </w:rPr>
        <w:t>作为差异化的专业服务并在自身企业的应用上获得了有效的成果。</w:t>
      </w:r>
    </w:p>
    <w:p w14:paraId="24ABD9A2" w14:textId="77777777" w:rsidR="00DF1225" w:rsidRDefault="00000000">
      <w:pPr>
        <w:widowControl/>
        <w:tabs>
          <w:tab w:val="left" w:pos="377"/>
        </w:tabs>
        <w:spacing w:line="360" w:lineRule="auto"/>
        <w:ind w:firstLineChars="200" w:firstLine="560"/>
        <w:rPr>
          <w:rFonts w:ascii="Times New Roman" w:eastAsia="仿宋" w:hAnsi="Times New Roman"/>
          <w:kern w:val="0"/>
          <w:sz w:val="28"/>
          <w:szCs w:val="28"/>
        </w:rPr>
      </w:pPr>
      <w:r>
        <w:rPr>
          <w:rFonts w:ascii="Times New Roman" w:eastAsia="仿宋" w:hAnsi="Times New Roman" w:hint="eastAsia"/>
          <w:sz w:val="28"/>
          <w:szCs w:val="28"/>
        </w:rPr>
        <w:t>处于中间的公司整体低碳转型方向已经清晰，但新旧业务仍持续并行。以壳牌、英国石油公司为例的国际石油公司已拥有电力、生物燃料、氢能或</w:t>
      </w:r>
      <w:r>
        <w:rPr>
          <w:rFonts w:ascii="Times New Roman" w:eastAsia="仿宋" w:hAnsi="Times New Roman" w:hint="eastAsia"/>
          <w:sz w:val="28"/>
          <w:szCs w:val="28"/>
        </w:rPr>
        <w:t>CCS</w:t>
      </w:r>
      <w:r>
        <w:rPr>
          <w:rFonts w:ascii="Times New Roman" w:eastAsia="仿宋" w:hAnsi="Times New Roman" w:hint="eastAsia"/>
          <w:sz w:val="28"/>
          <w:szCs w:val="28"/>
        </w:rPr>
        <w:t>等资产，但在</w:t>
      </w:r>
      <w:r>
        <w:rPr>
          <w:rFonts w:ascii="Times New Roman" w:eastAsia="仿宋" w:hAnsi="Times New Roman" w:hint="eastAsia"/>
          <w:sz w:val="28"/>
          <w:szCs w:val="28"/>
        </w:rPr>
        <w:t>2025</w:t>
      </w:r>
      <w:r>
        <w:rPr>
          <w:rFonts w:ascii="Times New Roman" w:eastAsia="仿宋" w:hAnsi="Times New Roman" w:hint="eastAsia"/>
          <w:sz w:val="28"/>
          <w:szCs w:val="28"/>
        </w:rPr>
        <w:t>年更强调项目筛选、能源安全与资本回报，整体排放改善的进展存在差距。马来西亚、巴西和沙特等国家石油公司发展清洁电力和低碳技术，在稳产或增产油气的背景下推进温室气体减排，虽然整体表述积极，但落实的新低</w:t>
      </w:r>
      <w:proofErr w:type="gramStart"/>
      <w:r>
        <w:rPr>
          <w:rFonts w:ascii="Times New Roman" w:eastAsia="仿宋" w:hAnsi="Times New Roman" w:hint="eastAsia"/>
          <w:sz w:val="28"/>
          <w:szCs w:val="28"/>
        </w:rPr>
        <w:t>碳业务</w:t>
      </w:r>
      <w:proofErr w:type="gramEnd"/>
      <w:r>
        <w:rPr>
          <w:rFonts w:ascii="Times New Roman" w:eastAsia="仿宋" w:hAnsi="Times New Roman" w:hint="eastAsia"/>
          <w:sz w:val="28"/>
          <w:szCs w:val="28"/>
        </w:rPr>
        <w:t>与资本投入有限。俄罗斯的公司如诺瓦泰克和俄罗斯天然气股份有限公司</w:t>
      </w:r>
      <w:r>
        <w:rPr>
          <w:rFonts w:ascii="Times New Roman" w:eastAsia="仿宋" w:hAnsi="Times New Roman" w:hint="eastAsia"/>
          <w:sz w:val="28"/>
          <w:szCs w:val="28"/>
        </w:rPr>
        <w:lastRenderedPageBreak/>
        <w:t>等则围绕伴生气回收、系统效率以及甲烷与火炬</w:t>
      </w:r>
      <w:proofErr w:type="gramStart"/>
      <w:r>
        <w:rPr>
          <w:rFonts w:ascii="Times New Roman" w:eastAsia="仿宋" w:hAnsi="Times New Roman" w:hint="eastAsia"/>
          <w:sz w:val="28"/>
          <w:szCs w:val="28"/>
        </w:rPr>
        <w:t>气控制</w:t>
      </w:r>
      <w:proofErr w:type="gramEnd"/>
      <w:r>
        <w:rPr>
          <w:rFonts w:ascii="Times New Roman" w:eastAsia="仿宋" w:hAnsi="Times New Roman" w:hint="eastAsia"/>
          <w:sz w:val="28"/>
          <w:szCs w:val="28"/>
        </w:rPr>
        <w:t>等内容展开，整体变革程度较小；印度国家石油公司和哈萨克斯坦国家石油天然气公司等企业的转型发展目则仍在处于积极建设但投资项目亟待整合完善的阶段。</w:t>
      </w:r>
    </w:p>
    <w:p w14:paraId="6FC8F085" w14:textId="77777777" w:rsidR="00DF1225" w:rsidRDefault="00000000">
      <w:pPr>
        <w:widowControl/>
        <w:tabs>
          <w:tab w:val="left" w:pos="377"/>
        </w:tabs>
        <w:spacing w:line="360" w:lineRule="auto"/>
        <w:ind w:firstLineChars="200" w:firstLine="560"/>
        <w:rPr>
          <w:rFonts w:ascii="Times New Roman" w:eastAsia="仿宋" w:hAnsi="Times New Roman"/>
          <w:kern w:val="0"/>
          <w:sz w:val="28"/>
          <w:szCs w:val="28"/>
        </w:rPr>
      </w:pPr>
      <w:r>
        <w:rPr>
          <w:rFonts w:ascii="Times New Roman" w:eastAsia="仿宋" w:hAnsi="Times New Roman" w:hint="eastAsia"/>
          <w:sz w:val="28"/>
          <w:szCs w:val="28"/>
        </w:rPr>
        <w:t>处在后段的公司整体呈现出了业务面偏窄或某一环节掉队的情况。大部分北美独立上游公司如</w:t>
      </w:r>
      <w:proofErr w:type="spellStart"/>
      <w:r>
        <w:rPr>
          <w:rFonts w:ascii="Times New Roman" w:eastAsia="仿宋" w:hAnsi="Times New Roman" w:hint="eastAsia"/>
          <w:sz w:val="28"/>
          <w:szCs w:val="28"/>
        </w:rPr>
        <w:t>Ovintiv</w:t>
      </w:r>
      <w:proofErr w:type="spellEnd"/>
      <w:r>
        <w:rPr>
          <w:rFonts w:ascii="Times New Roman" w:eastAsia="仿宋" w:hAnsi="Times New Roman" w:hint="eastAsia"/>
          <w:sz w:val="28"/>
          <w:szCs w:val="28"/>
        </w:rPr>
        <w:t>，安特罗资源和</w:t>
      </w:r>
      <w:r>
        <w:rPr>
          <w:rFonts w:ascii="Times New Roman" w:eastAsia="仿宋" w:hAnsi="Times New Roman" w:hint="eastAsia"/>
          <w:sz w:val="28"/>
          <w:szCs w:val="28"/>
        </w:rPr>
        <w:t>Range</w:t>
      </w:r>
      <w:r>
        <w:rPr>
          <w:rFonts w:ascii="Times New Roman" w:eastAsia="仿宋" w:hAnsi="Times New Roman" w:hint="eastAsia"/>
          <w:sz w:val="28"/>
          <w:szCs w:val="28"/>
        </w:rPr>
        <w:t>资源等整体温室气体排放控制得较低，但几乎并未涉及非油气业务，进而导致年度排放出现未能实现稳定逐年减排。印尼国家石油公司整体在地热、生物燃料</w:t>
      </w:r>
      <w:proofErr w:type="gramStart"/>
      <w:r>
        <w:rPr>
          <w:rFonts w:ascii="Times New Roman" w:eastAsia="仿宋" w:hAnsi="Times New Roman" w:hint="eastAsia"/>
          <w:sz w:val="28"/>
          <w:szCs w:val="28"/>
        </w:rPr>
        <w:t>及绿氢等</w:t>
      </w:r>
      <w:proofErr w:type="gramEnd"/>
      <w:r>
        <w:rPr>
          <w:rFonts w:ascii="Times New Roman" w:eastAsia="仿宋" w:hAnsi="Times New Roman" w:hint="eastAsia"/>
          <w:sz w:val="28"/>
          <w:szCs w:val="28"/>
        </w:rPr>
        <w:t>产业链内有所布局，但整体</w:t>
      </w:r>
      <w:proofErr w:type="gramStart"/>
      <w:r>
        <w:rPr>
          <w:rFonts w:ascii="Times New Roman" w:eastAsia="仿宋" w:hAnsi="Times New Roman" w:hint="eastAsia"/>
          <w:sz w:val="28"/>
          <w:szCs w:val="28"/>
        </w:rPr>
        <w:t>表述仍</w:t>
      </w:r>
      <w:proofErr w:type="gramEnd"/>
      <w:r>
        <w:rPr>
          <w:rFonts w:ascii="Times New Roman" w:eastAsia="仿宋" w:hAnsi="Times New Roman" w:hint="eastAsia"/>
          <w:sz w:val="28"/>
          <w:szCs w:val="28"/>
        </w:rPr>
        <w:t>围绕传统燃料与维持能源供给展开，排放改善有限；奥地利石油天然气集团</w:t>
      </w:r>
      <w:proofErr w:type="gramStart"/>
      <w:r>
        <w:rPr>
          <w:rFonts w:ascii="Times New Roman" w:eastAsia="仿宋" w:hAnsi="Times New Roman" w:hint="eastAsia"/>
          <w:sz w:val="28"/>
          <w:szCs w:val="28"/>
        </w:rPr>
        <w:t>虽持续</w:t>
      </w:r>
      <w:proofErr w:type="gramEnd"/>
      <w:r>
        <w:rPr>
          <w:rFonts w:ascii="Times New Roman" w:eastAsia="仿宋" w:hAnsi="Times New Roman" w:hint="eastAsia"/>
          <w:sz w:val="28"/>
          <w:szCs w:val="28"/>
        </w:rPr>
        <w:t>强调可再生燃料、氢能等系能源，但其炼化和上游组合仍形成较重的排放和资本约束，缺少改善的动力。</w:t>
      </w:r>
    </w:p>
    <w:p w14:paraId="0AC001E6" w14:textId="77777777" w:rsidR="00DF1225" w:rsidRDefault="00000000">
      <w:pPr>
        <w:widowControl/>
        <w:tabs>
          <w:tab w:val="left" w:pos="377"/>
        </w:tabs>
        <w:spacing w:line="360" w:lineRule="auto"/>
        <w:ind w:firstLineChars="200" w:firstLine="560"/>
        <w:rPr>
          <w:rFonts w:ascii="Times New Roman" w:eastAsia="仿宋" w:hAnsi="Times New Roman"/>
          <w:kern w:val="0"/>
          <w:sz w:val="28"/>
          <w:szCs w:val="28"/>
        </w:rPr>
      </w:pPr>
      <w:r>
        <w:rPr>
          <w:rFonts w:ascii="Times New Roman" w:eastAsia="仿宋" w:hAnsi="Times New Roman" w:hint="eastAsia"/>
          <w:sz w:val="28"/>
          <w:szCs w:val="28"/>
        </w:rPr>
        <w:t>从公司类型看，国际石油公司在综合转型层面依然有较大的优势，主要因为他们具备快速发展转型产业的资源与能力，能够将各类新能源技术充分组织并体系化发展；国家石油公司则更为分散，其转型需要同时满足国家能源供应、财政收入与本国展业目标，涉及的低碳业务较为广泛，但由于传统油气体量较大，集团排放改善偏慢；独立石油公司内部差异最大，日本帝国石油和西方石油的低碳业务紧贴自身原有的核心业务，</w:t>
      </w:r>
      <w:proofErr w:type="gramStart"/>
      <w:r>
        <w:rPr>
          <w:rFonts w:ascii="Times New Roman" w:eastAsia="仿宋" w:hAnsi="Times New Roman" w:hint="eastAsia"/>
          <w:sz w:val="28"/>
          <w:szCs w:val="28"/>
        </w:rPr>
        <w:t>凭较为</w:t>
      </w:r>
      <w:proofErr w:type="gramEnd"/>
      <w:r>
        <w:rPr>
          <w:rFonts w:ascii="Times New Roman" w:eastAsia="仿宋" w:hAnsi="Times New Roman" w:hint="eastAsia"/>
          <w:sz w:val="28"/>
          <w:szCs w:val="28"/>
        </w:rPr>
        <w:t>清晰转型布局进入评价的前列，而雷普索尔的优势则依托其多元的低碳资产，北美多数独立上游公司则仍聚焦于其传统的业务减排。</w:t>
      </w:r>
    </w:p>
    <w:p w14:paraId="03159778" w14:textId="77777777" w:rsidR="00DF1225" w:rsidRDefault="00000000">
      <w:pPr>
        <w:widowControl/>
        <w:tabs>
          <w:tab w:val="left" w:pos="377"/>
        </w:tabs>
        <w:spacing w:line="360" w:lineRule="auto"/>
        <w:ind w:firstLineChars="200" w:firstLine="560"/>
        <w:rPr>
          <w:rFonts w:ascii="Times New Roman" w:eastAsia="仿宋" w:hAnsi="Times New Roman"/>
          <w:kern w:val="0"/>
          <w:sz w:val="28"/>
          <w:szCs w:val="28"/>
        </w:rPr>
      </w:pPr>
      <w:r>
        <w:rPr>
          <w:rFonts w:ascii="Times New Roman" w:eastAsia="仿宋" w:hAnsi="Times New Roman" w:hint="eastAsia"/>
          <w:sz w:val="28"/>
          <w:szCs w:val="28"/>
        </w:rPr>
        <w:lastRenderedPageBreak/>
        <w:t>从区域看，欧洲公司整体位居前列，展现出成熟的地域内政策布局与设施建设为地区产业转型发展带来的强力推动，部分落后的欧洲企业则表明炼化与化工资产仍会对转型进度形成约束。相比之下，北美公司转型跨度最大，本质在于缺乏统一政策驱动，因而能否发展可商业化的低碳新业务成为决定其分化的根本因素。亚洲、中东及拉美地区的石油公司更多由国家能源安全与相关产业政策影响，其转型情况取决于能否依托现有资源和产业发展低碳业务，日本</w:t>
      </w:r>
      <w:r>
        <w:rPr>
          <w:rFonts w:ascii="Times New Roman" w:eastAsia="仿宋" w:hAnsi="Times New Roman" w:hint="eastAsia"/>
          <w:sz w:val="28"/>
          <w:szCs w:val="28"/>
        </w:rPr>
        <w:t>INPEX</w:t>
      </w:r>
      <w:r>
        <w:rPr>
          <w:rFonts w:ascii="Times New Roman" w:eastAsia="仿宋" w:hAnsi="Times New Roman" w:hint="eastAsia"/>
          <w:sz w:val="28"/>
          <w:szCs w:val="28"/>
        </w:rPr>
        <w:t>路径清晰，马来西亚、沙特、泰国等国家石油公司稳定发展，而印度、印尼、俄罗斯等国家的石油公司则仍需对现有业务与新能源业务的发展方向进行梳理和完善。</w:t>
      </w:r>
    </w:p>
    <w:p w14:paraId="6E6091EF" w14:textId="77777777" w:rsidR="00DF1225" w:rsidRDefault="00000000">
      <w:pPr>
        <w:widowControl/>
        <w:tabs>
          <w:tab w:val="left" w:pos="377"/>
        </w:tabs>
        <w:spacing w:afterLines="100" w:after="312" w:line="360" w:lineRule="auto"/>
        <w:jc w:val="center"/>
        <w:rPr>
          <w:rFonts w:ascii="Times New Roman" w:eastAsia="仿宋" w:hAnsi="Times New Roman"/>
          <w:b/>
          <w:bCs/>
          <w:sz w:val="24"/>
          <w:szCs w:val="24"/>
        </w:rPr>
      </w:pPr>
      <w:r>
        <w:rPr>
          <w:rFonts w:ascii="Times New Roman" w:eastAsia="仿宋" w:hAnsi="Times New Roman" w:hint="eastAsia"/>
          <w:b/>
          <w:bCs/>
          <w:sz w:val="24"/>
          <w:szCs w:val="24"/>
        </w:rPr>
        <w:t>表</w:t>
      </w:r>
      <w:r>
        <w:rPr>
          <w:rFonts w:ascii="Times New Roman" w:eastAsia="仿宋" w:hAnsi="Times New Roman" w:hint="eastAsia"/>
          <w:b/>
          <w:bCs/>
          <w:sz w:val="24"/>
          <w:szCs w:val="24"/>
        </w:rPr>
        <w:t xml:space="preserve">3 </w:t>
      </w:r>
      <w:r>
        <w:rPr>
          <w:rFonts w:ascii="Times New Roman" w:eastAsia="仿宋" w:hAnsi="Times New Roman" w:hint="eastAsia"/>
          <w:b/>
          <w:bCs/>
          <w:sz w:val="24"/>
          <w:szCs w:val="24"/>
        </w:rPr>
        <w:t>国际石油公司能源转型指数</w:t>
      </w:r>
    </w:p>
    <w:tbl>
      <w:tblPr>
        <w:tblW w:w="8369" w:type="dxa"/>
        <w:tblInd w:w="93" w:type="dxa"/>
        <w:tblLayout w:type="fixed"/>
        <w:tblLook w:val="04A0" w:firstRow="1" w:lastRow="0" w:firstColumn="1" w:lastColumn="0" w:noHBand="0" w:noVBand="1"/>
      </w:tblPr>
      <w:tblGrid>
        <w:gridCol w:w="2157"/>
        <w:gridCol w:w="4225"/>
        <w:gridCol w:w="1987"/>
      </w:tblGrid>
      <w:tr w:rsidR="00DF1225" w14:paraId="065B9793" w14:textId="77777777">
        <w:trPr>
          <w:trHeight w:val="510"/>
        </w:trPr>
        <w:tc>
          <w:tcPr>
            <w:tcW w:w="2157" w:type="dxa"/>
            <w:tcBorders>
              <w:top w:val="single" w:sz="12" w:space="0" w:color="000000"/>
              <w:left w:val="nil"/>
              <w:bottom w:val="single" w:sz="12" w:space="0" w:color="000000"/>
              <w:right w:val="nil"/>
            </w:tcBorders>
            <w:noWrap/>
            <w:vAlign w:val="center"/>
          </w:tcPr>
          <w:p w14:paraId="09CB78A3" w14:textId="77777777" w:rsidR="00DF1225" w:rsidRDefault="00000000">
            <w:pPr>
              <w:widowControl/>
              <w:jc w:val="center"/>
              <w:textAlignment w:val="center"/>
              <w:rPr>
                <w:rFonts w:ascii="Times New Roman" w:eastAsia="仿宋" w:hAnsi="Times New Roman"/>
                <w:b/>
                <w:bCs/>
                <w:color w:val="000000"/>
                <w:sz w:val="24"/>
                <w:szCs w:val="24"/>
              </w:rPr>
            </w:pPr>
            <w:r>
              <w:rPr>
                <w:rFonts w:ascii="Times New Roman" w:eastAsia="仿宋" w:hAnsi="Times New Roman" w:hint="eastAsia"/>
                <w:b/>
                <w:bCs/>
                <w:color w:val="000000"/>
                <w:kern w:val="0"/>
                <w:sz w:val="24"/>
                <w:szCs w:val="24"/>
                <w:lang w:bidi="ar"/>
              </w:rPr>
              <w:t>序号</w:t>
            </w:r>
          </w:p>
        </w:tc>
        <w:tc>
          <w:tcPr>
            <w:tcW w:w="4225" w:type="dxa"/>
            <w:tcBorders>
              <w:top w:val="single" w:sz="12" w:space="0" w:color="000000"/>
              <w:left w:val="nil"/>
              <w:bottom w:val="single" w:sz="12" w:space="0" w:color="000000"/>
              <w:right w:val="nil"/>
            </w:tcBorders>
            <w:noWrap/>
            <w:vAlign w:val="center"/>
          </w:tcPr>
          <w:p w14:paraId="5DDFC487" w14:textId="77777777" w:rsidR="00DF1225" w:rsidRDefault="00000000">
            <w:pPr>
              <w:widowControl/>
              <w:jc w:val="center"/>
              <w:textAlignment w:val="center"/>
              <w:rPr>
                <w:rFonts w:ascii="Times New Roman" w:eastAsia="仿宋" w:hAnsi="Times New Roman"/>
                <w:b/>
                <w:bCs/>
                <w:color w:val="000000"/>
                <w:sz w:val="24"/>
                <w:szCs w:val="24"/>
              </w:rPr>
            </w:pPr>
            <w:r>
              <w:rPr>
                <w:rFonts w:ascii="Times New Roman" w:eastAsia="仿宋" w:hAnsi="Times New Roman" w:hint="eastAsia"/>
                <w:b/>
                <w:bCs/>
                <w:color w:val="000000"/>
                <w:kern w:val="0"/>
                <w:sz w:val="24"/>
                <w:szCs w:val="24"/>
                <w:lang w:bidi="ar"/>
              </w:rPr>
              <w:t>公司名称</w:t>
            </w:r>
          </w:p>
        </w:tc>
        <w:tc>
          <w:tcPr>
            <w:tcW w:w="1987" w:type="dxa"/>
            <w:tcBorders>
              <w:top w:val="single" w:sz="12" w:space="0" w:color="000000"/>
              <w:left w:val="nil"/>
              <w:bottom w:val="single" w:sz="12" w:space="0" w:color="000000"/>
              <w:right w:val="nil"/>
            </w:tcBorders>
            <w:noWrap/>
            <w:vAlign w:val="center"/>
          </w:tcPr>
          <w:p w14:paraId="6C835B89" w14:textId="77777777" w:rsidR="00DF1225" w:rsidRDefault="00000000">
            <w:pPr>
              <w:widowControl/>
              <w:jc w:val="center"/>
              <w:textAlignment w:val="center"/>
              <w:rPr>
                <w:rFonts w:ascii="Times New Roman" w:eastAsia="仿宋" w:hAnsi="Times New Roman"/>
                <w:b/>
                <w:bCs/>
                <w:color w:val="000000"/>
                <w:sz w:val="24"/>
                <w:szCs w:val="24"/>
              </w:rPr>
            </w:pPr>
            <w:r>
              <w:rPr>
                <w:rFonts w:ascii="Times New Roman" w:eastAsia="仿宋" w:hAnsi="Times New Roman" w:hint="eastAsia"/>
                <w:b/>
                <w:bCs/>
                <w:color w:val="000000"/>
                <w:kern w:val="0"/>
                <w:sz w:val="24"/>
                <w:szCs w:val="24"/>
                <w:lang w:bidi="ar"/>
              </w:rPr>
              <w:t>总分</w:t>
            </w:r>
          </w:p>
        </w:tc>
      </w:tr>
      <w:tr w:rsidR="00DF1225" w14:paraId="16CBE125" w14:textId="77777777">
        <w:trPr>
          <w:trHeight w:val="285"/>
        </w:trPr>
        <w:tc>
          <w:tcPr>
            <w:tcW w:w="2157" w:type="dxa"/>
            <w:tcBorders>
              <w:top w:val="single" w:sz="12" w:space="0" w:color="000000"/>
              <w:left w:val="nil"/>
              <w:bottom w:val="nil"/>
              <w:right w:val="nil"/>
            </w:tcBorders>
            <w:noWrap/>
            <w:vAlign w:val="center"/>
          </w:tcPr>
          <w:p w14:paraId="02D29F2C"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1</w:t>
            </w:r>
          </w:p>
        </w:tc>
        <w:tc>
          <w:tcPr>
            <w:tcW w:w="4225" w:type="dxa"/>
            <w:tcBorders>
              <w:top w:val="single" w:sz="12" w:space="0" w:color="000000"/>
              <w:left w:val="nil"/>
              <w:bottom w:val="nil"/>
              <w:right w:val="nil"/>
            </w:tcBorders>
            <w:noWrap/>
            <w:vAlign w:val="center"/>
          </w:tcPr>
          <w:p w14:paraId="65311A5F"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r>
              <w:rPr>
                <w:rFonts w:ascii="Times New Roman" w:eastAsia="仿宋" w:hAnsi="Times New Roman" w:hint="eastAsia"/>
                <w:color w:val="000000"/>
                <w:kern w:val="0"/>
                <w:sz w:val="24"/>
                <w:szCs w:val="24"/>
                <w:lang w:bidi="ar"/>
              </w:rPr>
              <w:t>埃尼</w:t>
            </w:r>
          </w:p>
        </w:tc>
        <w:tc>
          <w:tcPr>
            <w:tcW w:w="1987" w:type="dxa"/>
            <w:tcBorders>
              <w:top w:val="single" w:sz="12" w:space="0" w:color="000000"/>
              <w:left w:val="nil"/>
              <w:bottom w:val="nil"/>
              <w:right w:val="nil"/>
            </w:tcBorders>
            <w:noWrap/>
            <w:vAlign w:val="center"/>
          </w:tcPr>
          <w:p w14:paraId="27CDA1FB"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87.05</w:t>
            </w:r>
          </w:p>
        </w:tc>
      </w:tr>
      <w:tr w:rsidR="00DF1225" w14:paraId="5970F09C" w14:textId="77777777">
        <w:trPr>
          <w:trHeight w:val="285"/>
        </w:trPr>
        <w:tc>
          <w:tcPr>
            <w:tcW w:w="2157" w:type="dxa"/>
            <w:tcBorders>
              <w:top w:val="nil"/>
              <w:left w:val="nil"/>
              <w:bottom w:val="nil"/>
              <w:right w:val="nil"/>
            </w:tcBorders>
            <w:noWrap/>
            <w:vAlign w:val="center"/>
          </w:tcPr>
          <w:p w14:paraId="2688FC72"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2</w:t>
            </w:r>
          </w:p>
        </w:tc>
        <w:tc>
          <w:tcPr>
            <w:tcW w:w="4225" w:type="dxa"/>
            <w:tcBorders>
              <w:top w:val="nil"/>
              <w:left w:val="nil"/>
              <w:bottom w:val="nil"/>
              <w:right w:val="nil"/>
            </w:tcBorders>
            <w:noWrap/>
            <w:vAlign w:val="center"/>
          </w:tcPr>
          <w:p w14:paraId="70495723"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r>
              <w:rPr>
                <w:rFonts w:ascii="Times New Roman" w:eastAsia="仿宋" w:hAnsi="Times New Roman" w:hint="eastAsia"/>
                <w:color w:val="000000"/>
                <w:kern w:val="0"/>
                <w:sz w:val="24"/>
                <w:szCs w:val="24"/>
                <w:lang w:bidi="ar"/>
              </w:rPr>
              <w:t>日本帝国石油公司</w:t>
            </w:r>
          </w:p>
        </w:tc>
        <w:tc>
          <w:tcPr>
            <w:tcW w:w="1987" w:type="dxa"/>
            <w:tcBorders>
              <w:top w:val="nil"/>
              <w:left w:val="nil"/>
              <w:bottom w:val="nil"/>
              <w:right w:val="nil"/>
            </w:tcBorders>
            <w:noWrap/>
            <w:vAlign w:val="center"/>
          </w:tcPr>
          <w:p w14:paraId="48A0BC9F"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86.04</w:t>
            </w:r>
          </w:p>
        </w:tc>
      </w:tr>
      <w:tr w:rsidR="00DF1225" w14:paraId="6ED81725" w14:textId="77777777">
        <w:trPr>
          <w:trHeight w:val="285"/>
        </w:trPr>
        <w:tc>
          <w:tcPr>
            <w:tcW w:w="2157" w:type="dxa"/>
            <w:tcBorders>
              <w:top w:val="nil"/>
              <w:left w:val="nil"/>
              <w:bottom w:val="nil"/>
              <w:right w:val="nil"/>
            </w:tcBorders>
            <w:noWrap/>
            <w:vAlign w:val="center"/>
          </w:tcPr>
          <w:p w14:paraId="5CCB6A23"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3</w:t>
            </w:r>
          </w:p>
        </w:tc>
        <w:tc>
          <w:tcPr>
            <w:tcW w:w="4225" w:type="dxa"/>
            <w:tcBorders>
              <w:top w:val="nil"/>
              <w:left w:val="nil"/>
              <w:bottom w:val="nil"/>
              <w:right w:val="nil"/>
            </w:tcBorders>
            <w:noWrap/>
            <w:vAlign w:val="center"/>
          </w:tcPr>
          <w:p w14:paraId="02B395EA"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r>
              <w:rPr>
                <w:rFonts w:ascii="Times New Roman" w:eastAsia="仿宋" w:hAnsi="Times New Roman" w:hint="eastAsia"/>
                <w:color w:val="000000"/>
                <w:kern w:val="0"/>
                <w:sz w:val="24"/>
                <w:szCs w:val="24"/>
                <w:lang w:bidi="ar"/>
              </w:rPr>
              <w:t>道达尔能源</w:t>
            </w:r>
          </w:p>
        </w:tc>
        <w:tc>
          <w:tcPr>
            <w:tcW w:w="1987" w:type="dxa"/>
            <w:tcBorders>
              <w:top w:val="nil"/>
              <w:left w:val="nil"/>
              <w:bottom w:val="nil"/>
              <w:right w:val="nil"/>
            </w:tcBorders>
            <w:noWrap/>
            <w:vAlign w:val="center"/>
          </w:tcPr>
          <w:p w14:paraId="3E8AD347"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81.65</w:t>
            </w:r>
          </w:p>
        </w:tc>
      </w:tr>
      <w:tr w:rsidR="00DF1225" w14:paraId="647D6E8C" w14:textId="77777777">
        <w:trPr>
          <w:trHeight w:val="285"/>
        </w:trPr>
        <w:tc>
          <w:tcPr>
            <w:tcW w:w="2157" w:type="dxa"/>
            <w:tcBorders>
              <w:top w:val="nil"/>
              <w:left w:val="nil"/>
              <w:bottom w:val="nil"/>
              <w:right w:val="nil"/>
            </w:tcBorders>
            <w:noWrap/>
            <w:vAlign w:val="center"/>
          </w:tcPr>
          <w:p w14:paraId="72FCDACD"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4</w:t>
            </w:r>
          </w:p>
        </w:tc>
        <w:tc>
          <w:tcPr>
            <w:tcW w:w="4225" w:type="dxa"/>
            <w:tcBorders>
              <w:top w:val="nil"/>
              <w:left w:val="nil"/>
              <w:bottom w:val="nil"/>
              <w:right w:val="nil"/>
            </w:tcBorders>
            <w:noWrap/>
            <w:vAlign w:val="center"/>
          </w:tcPr>
          <w:p w14:paraId="6962EE1F"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r>
              <w:rPr>
                <w:rFonts w:ascii="Times New Roman" w:eastAsia="仿宋" w:hAnsi="Times New Roman" w:hint="eastAsia"/>
                <w:color w:val="000000"/>
                <w:kern w:val="0"/>
                <w:sz w:val="24"/>
                <w:szCs w:val="24"/>
                <w:lang w:bidi="ar"/>
              </w:rPr>
              <w:t>挪威国家石油公司</w:t>
            </w:r>
          </w:p>
        </w:tc>
        <w:tc>
          <w:tcPr>
            <w:tcW w:w="1987" w:type="dxa"/>
            <w:tcBorders>
              <w:top w:val="nil"/>
              <w:left w:val="nil"/>
              <w:bottom w:val="nil"/>
              <w:right w:val="nil"/>
            </w:tcBorders>
            <w:noWrap/>
            <w:vAlign w:val="center"/>
          </w:tcPr>
          <w:p w14:paraId="1355FAA6"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81.57</w:t>
            </w:r>
          </w:p>
        </w:tc>
      </w:tr>
      <w:tr w:rsidR="00DF1225" w14:paraId="032A4D28" w14:textId="77777777">
        <w:trPr>
          <w:trHeight w:val="285"/>
        </w:trPr>
        <w:tc>
          <w:tcPr>
            <w:tcW w:w="2157" w:type="dxa"/>
            <w:tcBorders>
              <w:top w:val="nil"/>
              <w:left w:val="nil"/>
              <w:bottom w:val="nil"/>
              <w:right w:val="nil"/>
            </w:tcBorders>
            <w:noWrap/>
            <w:vAlign w:val="center"/>
          </w:tcPr>
          <w:p w14:paraId="3B06CC33"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5</w:t>
            </w:r>
          </w:p>
        </w:tc>
        <w:tc>
          <w:tcPr>
            <w:tcW w:w="4225" w:type="dxa"/>
            <w:tcBorders>
              <w:top w:val="nil"/>
              <w:left w:val="nil"/>
              <w:bottom w:val="nil"/>
              <w:right w:val="nil"/>
            </w:tcBorders>
            <w:noWrap/>
            <w:vAlign w:val="center"/>
          </w:tcPr>
          <w:p w14:paraId="0ED4841E"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r>
              <w:rPr>
                <w:rFonts w:ascii="Times New Roman" w:eastAsia="仿宋" w:hAnsi="Times New Roman" w:hint="eastAsia"/>
                <w:color w:val="000000"/>
                <w:kern w:val="0"/>
                <w:sz w:val="24"/>
                <w:szCs w:val="24"/>
                <w:lang w:bidi="ar"/>
              </w:rPr>
              <w:t>西方石油</w:t>
            </w:r>
          </w:p>
        </w:tc>
        <w:tc>
          <w:tcPr>
            <w:tcW w:w="1987" w:type="dxa"/>
            <w:tcBorders>
              <w:top w:val="nil"/>
              <w:left w:val="nil"/>
              <w:bottom w:val="nil"/>
              <w:right w:val="nil"/>
            </w:tcBorders>
            <w:noWrap/>
            <w:vAlign w:val="center"/>
          </w:tcPr>
          <w:p w14:paraId="09DD203C"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79.72</w:t>
            </w:r>
          </w:p>
        </w:tc>
      </w:tr>
      <w:tr w:rsidR="00DF1225" w14:paraId="2F37A9D6" w14:textId="77777777">
        <w:trPr>
          <w:trHeight w:val="285"/>
        </w:trPr>
        <w:tc>
          <w:tcPr>
            <w:tcW w:w="2157" w:type="dxa"/>
            <w:tcBorders>
              <w:top w:val="nil"/>
              <w:left w:val="nil"/>
              <w:bottom w:val="nil"/>
              <w:right w:val="nil"/>
            </w:tcBorders>
            <w:noWrap/>
            <w:vAlign w:val="center"/>
          </w:tcPr>
          <w:p w14:paraId="08DEA338"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6</w:t>
            </w:r>
          </w:p>
        </w:tc>
        <w:tc>
          <w:tcPr>
            <w:tcW w:w="4225" w:type="dxa"/>
            <w:tcBorders>
              <w:top w:val="nil"/>
              <w:left w:val="nil"/>
              <w:bottom w:val="nil"/>
              <w:right w:val="nil"/>
            </w:tcBorders>
            <w:noWrap/>
            <w:vAlign w:val="center"/>
          </w:tcPr>
          <w:p w14:paraId="60284AD9"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r>
              <w:rPr>
                <w:rFonts w:ascii="Times New Roman" w:eastAsia="仿宋" w:hAnsi="Times New Roman" w:hint="eastAsia"/>
                <w:color w:val="000000"/>
                <w:kern w:val="0"/>
                <w:sz w:val="24"/>
                <w:szCs w:val="24"/>
                <w:lang w:bidi="ar"/>
              </w:rPr>
              <w:t>马来西亚国家石油公司</w:t>
            </w:r>
          </w:p>
        </w:tc>
        <w:tc>
          <w:tcPr>
            <w:tcW w:w="1987" w:type="dxa"/>
            <w:tcBorders>
              <w:top w:val="nil"/>
              <w:left w:val="nil"/>
              <w:bottom w:val="nil"/>
              <w:right w:val="nil"/>
            </w:tcBorders>
            <w:noWrap/>
            <w:vAlign w:val="center"/>
          </w:tcPr>
          <w:p w14:paraId="04CC5DD0"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79.36</w:t>
            </w:r>
          </w:p>
        </w:tc>
      </w:tr>
      <w:tr w:rsidR="00DF1225" w14:paraId="26B4B5B8" w14:textId="77777777">
        <w:trPr>
          <w:trHeight w:val="285"/>
        </w:trPr>
        <w:tc>
          <w:tcPr>
            <w:tcW w:w="2157" w:type="dxa"/>
            <w:tcBorders>
              <w:top w:val="nil"/>
              <w:left w:val="nil"/>
              <w:bottom w:val="nil"/>
              <w:right w:val="nil"/>
            </w:tcBorders>
            <w:noWrap/>
            <w:vAlign w:val="center"/>
          </w:tcPr>
          <w:p w14:paraId="057B5634"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7</w:t>
            </w:r>
          </w:p>
        </w:tc>
        <w:tc>
          <w:tcPr>
            <w:tcW w:w="4225" w:type="dxa"/>
            <w:tcBorders>
              <w:top w:val="nil"/>
              <w:left w:val="nil"/>
              <w:bottom w:val="nil"/>
              <w:right w:val="nil"/>
            </w:tcBorders>
            <w:noWrap/>
            <w:vAlign w:val="center"/>
          </w:tcPr>
          <w:p w14:paraId="67A6CC19"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r>
              <w:rPr>
                <w:rFonts w:ascii="Times New Roman" w:eastAsia="仿宋" w:hAnsi="Times New Roman" w:hint="eastAsia"/>
                <w:color w:val="000000"/>
                <w:kern w:val="0"/>
                <w:sz w:val="24"/>
                <w:szCs w:val="24"/>
                <w:lang w:bidi="ar"/>
              </w:rPr>
              <w:t>壳牌</w:t>
            </w:r>
          </w:p>
        </w:tc>
        <w:tc>
          <w:tcPr>
            <w:tcW w:w="1987" w:type="dxa"/>
            <w:tcBorders>
              <w:top w:val="nil"/>
              <w:left w:val="nil"/>
              <w:bottom w:val="nil"/>
              <w:right w:val="nil"/>
            </w:tcBorders>
            <w:noWrap/>
            <w:vAlign w:val="center"/>
          </w:tcPr>
          <w:p w14:paraId="04F0D8AA"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73.60</w:t>
            </w:r>
          </w:p>
        </w:tc>
      </w:tr>
      <w:tr w:rsidR="00DF1225" w14:paraId="00064DBC" w14:textId="77777777">
        <w:trPr>
          <w:trHeight w:val="285"/>
        </w:trPr>
        <w:tc>
          <w:tcPr>
            <w:tcW w:w="2157" w:type="dxa"/>
            <w:tcBorders>
              <w:top w:val="nil"/>
              <w:left w:val="nil"/>
              <w:bottom w:val="nil"/>
              <w:right w:val="nil"/>
            </w:tcBorders>
            <w:noWrap/>
            <w:vAlign w:val="center"/>
          </w:tcPr>
          <w:p w14:paraId="7DAC2403"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8</w:t>
            </w:r>
          </w:p>
        </w:tc>
        <w:tc>
          <w:tcPr>
            <w:tcW w:w="4225" w:type="dxa"/>
            <w:tcBorders>
              <w:top w:val="nil"/>
              <w:left w:val="nil"/>
              <w:bottom w:val="nil"/>
              <w:right w:val="nil"/>
            </w:tcBorders>
            <w:noWrap/>
            <w:vAlign w:val="center"/>
          </w:tcPr>
          <w:p w14:paraId="4FEE94EE"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r>
              <w:rPr>
                <w:rFonts w:ascii="Times New Roman" w:eastAsia="仿宋" w:hAnsi="Times New Roman" w:hint="eastAsia"/>
                <w:color w:val="000000"/>
                <w:kern w:val="0"/>
                <w:sz w:val="24"/>
                <w:szCs w:val="24"/>
                <w:lang w:bidi="ar"/>
              </w:rPr>
              <w:t>沙特阿美</w:t>
            </w:r>
          </w:p>
        </w:tc>
        <w:tc>
          <w:tcPr>
            <w:tcW w:w="1987" w:type="dxa"/>
            <w:tcBorders>
              <w:top w:val="nil"/>
              <w:left w:val="nil"/>
              <w:bottom w:val="nil"/>
              <w:right w:val="nil"/>
            </w:tcBorders>
            <w:noWrap/>
            <w:vAlign w:val="center"/>
          </w:tcPr>
          <w:p w14:paraId="0ED44275"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72.85</w:t>
            </w:r>
          </w:p>
        </w:tc>
      </w:tr>
      <w:tr w:rsidR="00DF1225" w14:paraId="2134EE00" w14:textId="77777777">
        <w:trPr>
          <w:trHeight w:val="285"/>
        </w:trPr>
        <w:tc>
          <w:tcPr>
            <w:tcW w:w="2157" w:type="dxa"/>
            <w:tcBorders>
              <w:top w:val="nil"/>
              <w:left w:val="nil"/>
              <w:bottom w:val="nil"/>
              <w:right w:val="nil"/>
            </w:tcBorders>
            <w:noWrap/>
            <w:vAlign w:val="center"/>
          </w:tcPr>
          <w:p w14:paraId="0CE0E6DD"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9</w:t>
            </w:r>
          </w:p>
        </w:tc>
        <w:tc>
          <w:tcPr>
            <w:tcW w:w="4225" w:type="dxa"/>
            <w:tcBorders>
              <w:top w:val="nil"/>
              <w:left w:val="nil"/>
              <w:bottom w:val="nil"/>
              <w:right w:val="nil"/>
            </w:tcBorders>
            <w:noWrap/>
            <w:vAlign w:val="center"/>
          </w:tcPr>
          <w:p w14:paraId="2B055D4B"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r>
              <w:rPr>
                <w:rFonts w:ascii="Times New Roman" w:eastAsia="仿宋" w:hAnsi="Times New Roman" w:hint="eastAsia"/>
                <w:color w:val="000000"/>
                <w:kern w:val="0"/>
                <w:sz w:val="24"/>
                <w:szCs w:val="24"/>
                <w:lang w:bidi="ar"/>
              </w:rPr>
              <w:t>巴西国家石油公司</w:t>
            </w:r>
          </w:p>
        </w:tc>
        <w:tc>
          <w:tcPr>
            <w:tcW w:w="1987" w:type="dxa"/>
            <w:tcBorders>
              <w:top w:val="nil"/>
              <w:left w:val="nil"/>
              <w:bottom w:val="nil"/>
              <w:right w:val="nil"/>
            </w:tcBorders>
            <w:noWrap/>
            <w:vAlign w:val="center"/>
          </w:tcPr>
          <w:p w14:paraId="07D8BF70"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72.65</w:t>
            </w:r>
          </w:p>
        </w:tc>
      </w:tr>
      <w:tr w:rsidR="00DF1225" w14:paraId="0CEEF90D" w14:textId="77777777">
        <w:trPr>
          <w:trHeight w:val="285"/>
        </w:trPr>
        <w:tc>
          <w:tcPr>
            <w:tcW w:w="2157" w:type="dxa"/>
            <w:tcBorders>
              <w:top w:val="nil"/>
              <w:left w:val="nil"/>
              <w:bottom w:val="nil"/>
              <w:right w:val="nil"/>
            </w:tcBorders>
            <w:noWrap/>
            <w:vAlign w:val="center"/>
          </w:tcPr>
          <w:p w14:paraId="069B4654"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10</w:t>
            </w:r>
          </w:p>
        </w:tc>
        <w:tc>
          <w:tcPr>
            <w:tcW w:w="4225" w:type="dxa"/>
            <w:tcBorders>
              <w:top w:val="nil"/>
              <w:left w:val="nil"/>
              <w:bottom w:val="nil"/>
              <w:right w:val="nil"/>
            </w:tcBorders>
            <w:noWrap/>
            <w:vAlign w:val="center"/>
          </w:tcPr>
          <w:p w14:paraId="0DE5AD34"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r>
              <w:rPr>
                <w:rFonts w:ascii="Times New Roman" w:eastAsia="仿宋" w:hAnsi="Times New Roman" w:hint="eastAsia"/>
                <w:color w:val="000000"/>
                <w:kern w:val="0"/>
                <w:sz w:val="24"/>
                <w:szCs w:val="24"/>
                <w:lang w:bidi="ar"/>
              </w:rPr>
              <w:t>卢克</w:t>
            </w:r>
          </w:p>
        </w:tc>
        <w:tc>
          <w:tcPr>
            <w:tcW w:w="1987" w:type="dxa"/>
            <w:tcBorders>
              <w:top w:val="nil"/>
              <w:left w:val="nil"/>
              <w:bottom w:val="nil"/>
              <w:right w:val="nil"/>
            </w:tcBorders>
            <w:noWrap/>
            <w:vAlign w:val="center"/>
          </w:tcPr>
          <w:p w14:paraId="3F326F92"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72.29</w:t>
            </w:r>
          </w:p>
        </w:tc>
      </w:tr>
      <w:tr w:rsidR="00DF1225" w14:paraId="700A49F5" w14:textId="77777777">
        <w:trPr>
          <w:trHeight w:val="285"/>
        </w:trPr>
        <w:tc>
          <w:tcPr>
            <w:tcW w:w="2157" w:type="dxa"/>
            <w:tcBorders>
              <w:top w:val="nil"/>
              <w:left w:val="nil"/>
              <w:bottom w:val="nil"/>
              <w:right w:val="nil"/>
            </w:tcBorders>
            <w:noWrap/>
            <w:vAlign w:val="center"/>
          </w:tcPr>
          <w:p w14:paraId="46D5265D"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11</w:t>
            </w:r>
          </w:p>
        </w:tc>
        <w:tc>
          <w:tcPr>
            <w:tcW w:w="4225" w:type="dxa"/>
            <w:tcBorders>
              <w:top w:val="nil"/>
              <w:left w:val="nil"/>
              <w:bottom w:val="nil"/>
              <w:right w:val="nil"/>
            </w:tcBorders>
            <w:noWrap/>
            <w:vAlign w:val="center"/>
          </w:tcPr>
          <w:p w14:paraId="7A2D91ED"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r>
              <w:rPr>
                <w:rFonts w:ascii="Times New Roman" w:eastAsia="仿宋" w:hAnsi="Times New Roman" w:hint="eastAsia"/>
                <w:color w:val="000000"/>
                <w:kern w:val="0"/>
                <w:sz w:val="24"/>
                <w:szCs w:val="24"/>
                <w:lang w:bidi="ar"/>
              </w:rPr>
              <w:t>泰国国家石油公司</w:t>
            </w:r>
          </w:p>
        </w:tc>
        <w:tc>
          <w:tcPr>
            <w:tcW w:w="1987" w:type="dxa"/>
            <w:tcBorders>
              <w:top w:val="nil"/>
              <w:left w:val="nil"/>
              <w:bottom w:val="nil"/>
              <w:right w:val="nil"/>
            </w:tcBorders>
            <w:noWrap/>
            <w:vAlign w:val="center"/>
          </w:tcPr>
          <w:p w14:paraId="414430A0"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72.28</w:t>
            </w:r>
          </w:p>
        </w:tc>
      </w:tr>
      <w:tr w:rsidR="00DF1225" w14:paraId="4B3E4DA7" w14:textId="77777777">
        <w:trPr>
          <w:trHeight w:val="285"/>
        </w:trPr>
        <w:tc>
          <w:tcPr>
            <w:tcW w:w="2157" w:type="dxa"/>
            <w:tcBorders>
              <w:top w:val="nil"/>
              <w:left w:val="nil"/>
              <w:bottom w:val="nil"/>
              <w:right w:val="nil"/>
            </w:tcBorders>
            <w:noWrap/>
            <w:vAlign w:val="center"/>
          </w:tcPr>
          <w:p w14:paraId="55C4220E"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12</w:t>
            </w:r>
          </w:p>
        </w:tc>
        <w:tc>
          <w:tcPr>
            <w:tcW w:w="4225" w:type="dxa"/>
            <w:tcBorders>
              <w:top w:val="nil"/>
              <w:left w:val="nil"/>
              <w:bottom w:val="nil"/>
              <w:right w:val="nil"/>
            </w:tcBorders>
            <w:noWrap/>
            <w:vAlign w:val="center"/>
          </w:tcPr>
          <w:p w14:paraId="605B5C35"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r>
              <w:rPr>
                <w:rFonts w:ascii="Times New Roman" w:eastAsia="仿宋" w:hAnsi="Times New Roman" w:hint="eastAsia"/>
                <w:color w:val="000000"/>
                <w:kern w:val="0"/>
                <w:sz w:val="24"/>
                <w:szCs w:val="24"/>
                <w:lang w:bidi="ar"/>
              </w:rPr>
              <w:t>雷普索尔</w:t>
            </w:r>
          </w:p>
        </w:tc>
        <w:tc>
          <w:tcPr>
            <w:tcW w:w="1987" w:type="dxa"/>
            <w:tcBorders>
              <w:top w:val="nil"/>
              <w:left w:val="nil"/>
              <w:bottom w:val="nil"/>
              <w:right w:val="nil"/>
            </w:tcBorders>
            <w:noWrap/>
            <w:vAlign w:val="center"/>
          </w:tcPr>
          <w:p w14:paraId="2BED5763"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71.65</w:t>
            </w:r>
          </w:p>
        </w:tc>
      </w:tr>
      <w:tr w:rsidR="00DF1225" w14:paraId="2AE83AE7" w14:textId="77777777">
        <w:trPr>
          <w:trHeight w:val="285"/>
        </w:trPr>
        <w:tc>
          <w:tcPr>
            <w:tcW w:w="2157" w:type="dxa"/>
            <w:tcBorders>
              <w:top w:val="nil"/>
              <w:left w:val="nil"/>
              <w:bottom w:val="nil"/>
              <w:right w:val="nil"/>
            </w:tcBorders>
            <w:noWrap/>
            <w:vAlign w:val="center"/>
          </w:tcPr>
          <w:p w14:paraId="3035CD98"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13</w:t>
            </w:r>
          </w:p>
        </w:tc>
        <w:tc>
          <w:tcPr>
            <w:tcW w:w="4225" w:type="dxa"/>
            <w:tcBorders>
              <w:top w:val="nil"/>
              <w:left w:val="nil"/>
              <w:bottom w:val="nil"/>
              <w:right w:val="nil"/>
            </w:tcBorders>
            <w:noWrap/>
            <w:vAlign w:val="center"/>
          </w:tcPr>
          <w:p w14:paraId="1B1D1677"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r>
              <w:rPr>
                <w:rFonts w:ascii="Times New Roman" w:eastAsia="仿宋" w:hAnsi="Times New Roman" w:hint="eastAsia"/>
                <w:color w:val="000000"/>
                <w:kern w:val="0"/>
                <w:sz w:val="24"/>
                <w:szCs w:val="24"/>
                <w:lang w:bidi="ar"/>
              </w:rPr>
              <w:t>埃克森美孚</w:t>
            </w:r>
          </w:p>
        </w:tc>
        <w:tc>
          <w:tcPr>
            <w:tcW w:w="1987" w:type="dxa"/>
            <w:tcBorders>
              <w:top w:val="nil"/>
              <w:left w:val="nil"/>
              <w:bottom w:val="nil"/>
              <w:right w:val="nil"/>
            </w:tcBorders>
            <w:noWrap/>
            <w:vAlign w:val="center"/>
          </w:tcPr>
          <w:p w14:paraId="45F38954"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71.12</w:t>
            </w:r>
          </w:p>
        </w:tc>
      </w:tr>
      <w:tr w:rsidR="00DF1225" w14:paraId="60BDBC72" w14:textId="77777777">
        <w:trPr>
          <w:trHeight w:val="285"/>
        </w:trPr>
        <w:tc>
          <w:tcPr>
            <w:tcW w:w="2157" w:type="dxa"/>
            <w:tcBorders>
              <w:top w:val="nil"/>
              <w:left w:val="nil"/>
              <w:bottom w:val="nil"/>
              <w:right w:val="nil"/>
            </w:tcBorders>
            <w:noWrap/>
            <w:vAlign w:val="center"/>
          </w:tcPr>
          <w:p w14:paraId="2A286C29"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14</w:t>
            </w:r>
          </w:p>
        </w:tc>
        <w:tc>
          <w:tcPr>
            <w:tcW w:w="4225" w:type="dxa"/>
            <w:tcBorders>
              <w:top w:val="nil"/>
              <w:left w:val="nil"/>
              <w:bottom w:val="nil"/>
              <w:right w:val="nil"/>
            </w:tcBorders>
            <w:noWrap/>
            <w:vAlign w:val="center"/>
          </w:tcPr>
          <w:p w14:paraId="6BCA3C3B"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r>
              <w:rPr>
                <w:rFonts w:ascii="Times New Roman" w:eastAsia="仿宋" w:hAnsi="Times New Roman" w:hint="eastAsia"/>
                <w:color w:val="000000"/>
                <w:kern w:val="0"/>
                <w:sz w:val="24"/>
                <w:szCs w:val="24"/>
                <w:lang w:bidi="ar"/>
              </w:rPr>
              <w:t>英国石油公司（</w:t>
            </w:r>
            <w:r>
              <w:rPr>
                <w:rFonts w:ascii="Times New Roman" w:eastAsia="仿宋" w:hAnsi="Times New Roman" w:hint="eastAsia"/>
                <w:color w:val="000000"/>
                <w:kern w:val="0"/>
                <w:sz w:val="24"/>
                <w:szCs w:val="24"/>
                <w:lang w:bidi="ar"/>
              </w:rPr>
              <w:t>BP</w:t>
            </w:r>
            <w:r>
              <w:rPr>
                <w:rFonts w:ascii="Times New Roman" w:eastAsia="仿宋" w:hAnsi="Times New Roman" w:hint="eastAsia"/>
                <w:color w:val="000000"/>
                <w:kern w:val="0"/>
                <w:sz w:val="24"/>
                <w:szCs w:val="24"/>
                <w:lang w:bidi="ar"/>
              </w:rPr>
              <w:t>）</w:t>
            </w:r>
          </w:p>
        </w:tc>
        <w:tc>
          <w:tcPr>
            <w:tcW w:w="1987" w:type="dxa"/>
            <w:tcBorders>
              <w:top w:val="nil"/>
              <w:left w:val="nil"/>
              <w:bottom w:val="nil"/>
              <w:right w:val="nil"/>
            </w:tcBorders>
            <w:noWrap/>
            <w:vAlign w:val="center"/>
          </w:tcPr>
          <w:p w14:paraId="48758D62"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70.36</w:t>
            </w:r>
          </w:p>
        </w:tc>
      </w:tr>
      <w:tr w:rsidR="00DF1225" w14:paraId="00D83670" w14:textId="77777777">
        <w:trPr>
          <w:trHeight w:val="285"/>
        </w:trPr>
        <w:tc>
          <w:tcPr>
            <w:tcW w:w="2157" w:type="dxa"/>
            <w:tcBorders>
              <w:top w:val="nil"/>
              <w:left w:val="nil"/>
              <w:bottom w:val="nil"/>
              <w:right w:val="nil"/>
            </w:tcBorders>
            <w:noWrap/>
            <w:vAlign w:val="center"/>
          </w:tcPr>
          <w:p w14:paraId="69F34511"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15</w:t>
            </w:r>
          </w:p>
        </w:tc>
        <w:tc>
          <w:tcPr>
            <w:tcW w:w="4225" w:type="dxa"/>
            <w:tcBorders>
              <w:top w:val="nil"/>
              <w:left w:val="nil"/>
              <w:bottom w:val="nil"/>
              <w:right w:val="nil"/>
            </w:tcBorders>
            <w:noWrap/>
            <w:vAlign w:val="center"/>
          </w:tcPr>
          <w:p w14:paraId="34AD8D58"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r>
              <w:rPr>
                <w:rFonts w:ascii="Times New Roman" w:eastAsia="仿宋" w:hAnsi="Times New Roman" w:hint="eastAsia"/>
                <w:color w:val="000000"/>
                <w:kern w:val="0"/>
                <w:sz w:val="24"/>
                <w:szCs w:val="24"/>
                <w:lang w:bidi="ar"/>
              </w:rPr>
              <w:t>哥伦比亚国家石油公司</w:t>
            </w:r>
          </w:p>
        </w:tc>
        <w:tc>
          <w:tcPr>
            <w:tcW w:w="1987" w:type="dxa"/>
            <w:tcBorders>
              <w:top w:val="nil"/>
              <w:left w:val="nil"/>
              <w:bottom w:val="nil"/>
              <w:right w:val="nil"/>
            </w:tcBorders>
            <w:noWrap/>
            <w:vAlign w:val="center"/>
          </w:tcPr>
          <w:p w14:paraId="01143F97"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70.13</w:t>
            </w:r>
          </w:p>
        </w:tc>
      </w:tr>
      <w:tr w:rsidR="00DF1225" w14:paraId="2878F78F" w14:textId="77777777">
        <w:trPr>
          <w:trHeight w:val="285"/>
        </w:trPr>
        <w:tc>
          <w:tcPr>
            <w:tcW w:w="2157" w:type="dxa"/>
            <w:tcBorders>
              <w:top w:val="nil"/>
              <w:left w:val="nil"/>
              <w:bottom w:val="nil"/>
              <w:right w:val="nil"/>
            </w:tcBorders>
            <w:noWrap/>
            <w:vAlign w:val="center"/>
          </w:tcPr>
          <w:p w14:paraId="01AD0B1C"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16</w:t>
            </w:r>
          </w:p>
        </w:tc>
        <w:tc>
          <w:tcPr>
            <w:tcW w:w="4225" w:type="dxa"/>
            <w:tcBorders>
              <w:top w:val="nil"/>
              <w:left w:val="nil"/>
              <w:bottom w:val="nil"/>
              <w:right w:val="nil"/>
            </w:tcBorders>
            <w:noWrap/>
            <w:vAlign w:val="center"/>
          </w:tcPr>
          <w:p w14:paraId="668FD46C"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r>
              <w:rPr>
                <w:rFonts w:ascii="Times New Roman" w:eastAsia="仿宋" w:hAnsi="Times New Roman" w:hint="eastAsia"/>
                <w:color w:val="000000"/>
                <w:kern w:val="0"/>
                <w:sz w:val="24"/>
                <w:szCs w:val="24"/>
                <w:lang w:bidi="ar"/>
              </w:rPr>
              <w:t>诺瓦泰克</w:t>
            </w:r>
          </w:p>
        </w:tc>
        <w:tc>
          <w:tcPr>
            <w:tcW w:w="1987" w:type="dxa"/>
            <w:tcBorders>
              <w:top w:val="nil"/>
              <w:left w:val="nil"/>
              <w:bottom w:val="nil"/>
              <w:right w:val="nil"/>
            </w:tcBorders>
            <w:noWrap/>
            <w:vAlign w:val="center"/>
          </w:tcPr>
          <w:p w14:paraId="36D51AFC"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69.68</w:t>
            </w:r>
          </w:p>
        </w:tc>
      </w:tr>
      <w:tr w:rsidR="00DF1225" w14:paraId="0A6F2C56" w14:textId="77777777">
        <w:trPr>
          <w:trHeight w:val="285"/>
        </w:trPr>
        <w:tc>
          <w:tcPr>
            <w:tcW w:w="2157" w:type="dxa"/>
            <w:tcBorders>
              <w:top w:val="nil"/>
              <w:left w:val="nil"/>
              <w:bottom w:val="nil"/>
              <w:right w:val="nil"/>
            </w:tcBorders>
            <w:noWrap/>
            <w:vAlign w:val="center"/>
          </w:tcPr>
          <w:p w14:paraId="43BE03C3"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17</w:t>
            </w:r>
          </w:p>
        </w:tc>
        <w:tc>
          <w:tcPr>
            <w:tcW w:w="4225" w:type="dxa"/>
            <w:tcBorders>
              <w:top w:val="nil"/>
              <w:left w:val="nil"/>
              <w:bottom w:val="nil"/>
              <w:right w:val="nil"/>
            </w:tcBorders>
            <w:noWrap/>
            <w:vAlign w:val="center"/>
          </w:tcPr>
          <w:p w14:paraId="6BA32F5F"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r>
              <w:rPr>
                <w:rFonts w:ascii="Times New Roman" w:eastAsia="仿宋" w:hAnsi="Times New Roman" w:hint="eastAsia"/>
                <w:color w:val="000000"/>
                <w:kern w:val="0"/>
                <w:sz w:val="24"/>
                <w:szCs w:val="24"/>
                <w:lang w:bidi="ar"/>
              </w:rPr>
              <w:t>印度国家石油公司</w:t>
            </w:r>
          </w:p>
        </w:tc>
        <w:tc>
          <w:tcPr>
            <w:tcW w:w="1987" w:type="dxa"/>
            <w:tcBorders>
              <w:top w:val="nil"/>
              <w:left w:val="nil"/>
              <w:bottom w:val="nil"/>
              <w:right w:val="nil"/>
            </w:tcBorders>
            <w:noWrap/>
            <w:vAlign w:val="center"/>
          </w:tcPr>
          <w:p w14:paraId="6E5D400D"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68.87</w:t>
            </w:r>
          </w:p>
        </w:tc>
      </w:tr>
      <w:tr w:rsidR="00DF1225" w14:paraId="2ABC84EB" w14:textId="77777777">
        <w:trPr>
          <w:trHeight w:val="285"/>
        </w:trPr>
        <w:tc>
          <w:tcPr>
            <w:tcW w:w="2157" w:type="dxa"/>
            <w:tcBorders>
              <w:top w:val="nil"/>
              <w:left w:val="nil"/>
              <w:bottom w:val="nil"/>
              <w:right w:val="nil"/>
            </w:tcBorders>
            <w:noWrap/>
            <w:vAlign w:val="center"/>
          </w:tcPr>
          <w:p w14:paraId="66048B39"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18</w:t>
            </w:r>
          </w:p>
        </w:tc>
        <w:tc>
          <w:tcPr>
            <w:tcW w:w="4225" w:type="dxa"/>
            <w:tcBorders>
              <w:top w:val="nil"/>
              <w:left w:val="nil"/>
              <w:bottom w:val="nil"/>
              <w:right w:val="nil"/>
            </w:tcBorders>
            <w:noWrap/>
            <w:vAlign w:val="center"/>
          </w:tcPr>
          <w:p w14:paraId="575DFB72"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r>
              <w:rPr>
                <w:rFonts w:ascii="Times New Roman" w:eastAsia="仿宋" w:hAnsi="Times New Roman" w:hint="eastAsia"/>
                <w:color w:val="000000"/>
                <w:kern w:val="0"/>
                <w:sz w:val="24"/>
                <w:szCs w:val="24"/>
                <w:lang w:bidi="ar"/>
              </w:rPr>
              <w:t>哈萨克斯坦国家石油天然气公司</w:t>
            </w:r>
          </w:p>
        </w:tc>
        <w:tc>
          <w:tcPr>
            <w:tcW w:w="1987" w:type="dxa"/>
            <w:tcBorders>
              <w:top w:val="nil"/>
              <w:left w:val="nil"/>
              <w:bottom w:val="nil"/>
              <w:right w:val="nil"/>
            </w:tcBorders>
            <w:noWrap/>
            <w:vAlign w:val="center"/>
          </w:tcPr>
          <w:p w14:paraId="4B843A47"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68.56</w:t>
            </w:r>
          </w:p>
        </w:tc>
      </w:tr>
      <w:tr w:rsidR="00DF1225" w14:paraId="23777231" w14:textId="77777777">
        <w:trPr>
          <w:trHeight w:val="285"/>
        </w:trPr>
        <w:tc>
          <w:tcPr>
            <w:tcW w:w="2157" w:type="dxa"/>
            <w:tcBorders>
              <w:top w:val="nil"/>
              <w:left w:val="nil"/>
              <w:bottom w:val="nil"/>
              <w:right w:val="nil"/>
            </w:tcBorders>
            <w:noWrap/>
            <w:vAlign w:val="center"/>
          </w:tcPr>
          <w:p w14:paraId="1D43FE05"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19</w:t>
            </w:r>
          </w:p>
        </w:tc>
        <w:tc>
          <w:tcPr>
            <w:tcW w:w="4225" w:type="dxa"/>
            <w:tcBorders>
              <w:top w:val="nil"/>
              <w:left w:val="nil"/>
              <w:bottom w:val="nil"/>
              <w:right w:val="nil"/>
            </w:tcBorders>
            <w:noWrap/>
            <w:vAlign w:val="center"/>
          </w:tcPr>
          <w:p w14:paraId="5474C6B4"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r>
              <w:rPr>
                <w:rFonts w:ascii="Times New Roman" w:eastAsia="仿宋" w:hAnsi="Times New Roman" w:hint="eastAsia"/>
                <w:color w:val="000000"/>
                <w:kern w:val="0"/>
                <w:sz w:val="24"/>
                <w:szCs w:val="24"/>
                <w:lang w:bidi="ar"/>
              </w:rPr>
              <w:t>雪佛龙</w:t>
            </w:r>
          </w:p>
        </w:tc>
        <w:tc>
          <w:tcPr>
            <w:tcW w:w="1987" w:type="dxa"/>
            <w:tcBorders>
              <w:top w:val="nil"/>
              <w:left w:val="nil"/>
              <w:bottom w:val="nil"/>
              <w:right w:val="nil"/>
            </w:tcBorders>
            <w:noWrap/>
            <w:vAlign w:val="center"/>
          </w:tcPr>
          <w:p w14:paraId="1EF7CCC5"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68.30</w:t>
            </w:r>
          </w:p>
        </w:tc>
      </w:tr>
      <w:tr w:rsidR="00DF1225" w14:paraId="593F6C37" w14:textId="77777777" w:rsidTr="001B2D69">
        <w:trPr>
          <w:trHeight w:val="285"/>
        </w:trPr>
        <w:tc>
          <w:tcPr>
            <w:tcW w:w="2157" w:type="dxa"/>
            <w:tcBorders>
              <w:top w:val="nil"/>
              <w:left w:val="nil"/>
              <w:bottom w:val="single" w:sz="12" w:space="0" w:color="auto"/>
              <w:right w:val="nil"/>
            </w:tcBorders>
            <w:noWrap/>
            <w:vAlign w:val="center"/>
          </w:tcPr>
          <w:p w14:paraId="3864865C"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20</w:t>
            </w:r>
          </w:p>
        </w:tc>
        <w:tc>
          <w:tcPr>
            <w:tcW w:w="4225" w:type="dxa"/>
            <w:tcBorders>
              <w:top w:val="nil"/>
              <w:left w:val="nil"/>
              <w:bottom w:val="single" w:sz="12" w:space="0" w:color="auto"/>
              <w:right w:val="nil"/>
            </w:tcBorders>
            <w:noWrap/>
            <w:vAlign w:val="center"/>
          </w:tcPr>
          <w:p w14:paraId="038358FC"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r>
              <w:rPr>
                <w:rFonts w:ascii="Times New Roman" w:eastAsia="仿宋" w:hAnsi="Times New Roman" w:hint="eastAsia"/>
                <w:color w:val="000000"/>
                <w:kern w:val="0"/>
                <w:sz w:val="24"/>
                <w:szCs w:val="24"/>
                <w:lang w:bidi="ar"/>
              </w:rPr>
              <w:t>俄罗斯国家石油公司</w:t>
            </w:r>
          </w:p>
        </w:tc>
        <w:tc>
          <w:tcPr>
            <w:tcW w:w="1987" w:type="dxa"/>
            <w:tcBorders>
              <w:top w:val="nil"/>
              <w:left w:val="nil"/>
              <w:bottom w:val="single" w:sz="12" w:space="0" w:color="auto"/>
              <w:right w:val="nil"/>
            </w:tcBorders>
            <w:noWrap/>
            <w:vAlign w:val="center"/>
          </w:tcPr>
          <w:p w14:paraId="60F95BB0"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65.29</w:t>
            </w:r>
          </w:p>
        </w:tc>
      </w:tr>
      <w:tr w:rsidR="00DF1225" w14:paraId="56DA7770" w14:textId="77777777" w:rsidTr="001B2D69">
        <w:trPr>
          <w:trHeight w:val="300"/>
        </w:trPr>
        <w:tc>
          <w:tcPr>
            <w:tcW w:w="2157" w:type="dxa"/>
            <w:tcBorders>
              <w:top w:val="single" w:sz="12" w:space="0" w:color="auto"/>
              <w:left w:val="nil"/>
              <w:bottom w:val="nil"/>
              <w:right w:val="nil"/>
            </w:tcBorders>
            <w:noWrap/>
            <w:vAlign w:val="center"/>
          </w:tcPr>
          <w:p w14:paraId="71276ECA"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lastRenderedPageBreak/>
              <w:t>21</w:t>
            </w:r>
          </w:p>
        </w:tc>
        <w:tc>
          <w:tcPr>
            <w:tcW w:w="4225" w:type="dxa"/>
            <w:tcBorders>
              <w:top w:val="single" w:sz="12" w:space="0" w:color="auto"/>
              <w:left w:val="nil"/>
              <w:bottom w:val="nil"/>
              <w:right w:val="nil"/>
            </w:tcBorders>
            <w:noWrap/>
            <w:vAlign w:val="center"/>
          </w:tcPr>
          <w:p w14:paraId="10D24268"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r>
              <w:rPr>
                <w:rFonts w:ascii="Times New Roman" w:eastAsia="仿宋" w:hAnsi="Times New Roman" w:hint="eastAsia"/>
                <w:color w:val="000000"/>
                <w:kern w:val="0"/>
                <w:sz w:val="24"/>
                <w:szCs w:val="24"/>
                <w:lang w:bidi="ar"/>
              </w:rPr>
              <w:t>俄罗斯天然气工业公司</w:t>
            </w:r>
          </w:p>
        </w:tc>
        <w:tc>
          <w:tcPr>
            <w:tcW w:w="1987" w:type="dxa"/>
            <w:tcBorders>
              <w:top w:val="single" w:sz="12" w:space="0" w:color="auto"/>
              <w:left w:val="nil"/>
              <w:bottom w:val="nil"/>
              <w:right w:val="nil"/>
            </w:tcBorders>
            <w:noWrap/>
            <w:vAlign w:val="center"/>
          </w:tcPr>
          <w:p w14:paraId="6D4A4F8B"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60.66</w:t>
            </w:r>
          </w:p>
        </w:tc>
      </w:tr>
      <w:tr w:rsidR="00DF1225" w14:paraId="75782E2A" w14:textId="77777777">
        <w:trPr>
          <w:trHeight w:val="300"/>
        </w:trPr>
        <w:tc>
          <w:tcPr>
            <w:tcW w:w="2157" w:type="dxa"/>
            <w:tcBorders>
              <w:top w:val="nil"/>
              <w:left w:val="nil"/>
              <w:bottom w:val="nil"/>
              <w:right w:val="nil"/>
            </w:tcBorders>
            <w:noWrap/>
            <w:vAlign w:val="center"/>
          </w:tcPr>
          <w:p w14:paraId="1624EBEA"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22</w:t>
            </w:r>
          </w:p>
        </w:tc>
        <w:tc>
          <w:tcPr>
            <w:tcW w:w="4225" w:type="dxa"/>
            <w:tcBorders>
              <w:top w:val="nil"/>
              <w:left w:val="nil"/>
              <w:bottom w:val="nil"/>
              <w:right w:val="nil"/>
            </w:tcBorders>
            <w:noWrap/>
            <w:vAlign w:val="center"/>
          </w:tcPr>
          <w:p w14:paraId="217B3CE3"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proofErr w:type="gramStart"/>
            <w:r>
              <w:rPr>
                <w:rFonts w:ascii="Times New Roman" w:eastAsia="仿宋" w:hAnsi="Times New Roman" w:hint="eastAsia"/>
                <w:color w:val="000000"/>
                <w:kern w:val="0"/>
                <w:sz w:val="24"/>
                <w:szCs w:val="24"/>
                <w:lang w:bidi="ar"/>
              </w:rPr>
              <w:t>康菲</w:t>
            </w:r>
            <w:proofErr w:type="gramEnd"/>
          </w:p>
        </w:tc>
        <w:tc>
          <w:tcPr>
            <w:tcW w:w="1987" w:type="dxa"/>
            <w:tcBorders>
              <w:top w:val="nil"/>
              <w:left w:val="nil"/>
              <w:bottom w:val="nil"/>
              <w:right w:val="nil"/>
            </w:tcBorders>
            <w:noWrap/>
            <w:vAlign w:val="center"/>
          </w:tcPr>
          <w:p w14:paraId="0FDB91E1"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60.42</w:t>
            </w:r>
          </w:p>
        </w:tc>
      </w:tr>
      <w:tr w:rsidR="00DF1225" w14:paraId="27DB1D9C" w14:textId="77777777">
        <w:trPr>
          <w:trHeight w:val="300"/>
        </w:trPr>
        <w:tc>
          <w:tcPr>
            <w:tcW w:w="2157" w:type="dxa"/>
            <w:tcBorders>
              <w:top w:val="nil"/>
              <w:left w:val="nil"/>
              <w:bottom w:val="nil"/>
              <w:right w:val="nil"/>
            </w:tcBorders>
            <w:noWrap/>
            <w:vAlign w:val="center"/>
          </w:tcPr>
          <w:p w14:paraId="1E9001C3"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23</w:t>
            </w:r>
          </w:p>
        </w:tc>
        <w:tc>
          <w:tcPr>
            <w:tcW w:w="4225" w:type="dxa"/>
            <w:tcBorders>
              <w:top w:val="nil"/>
              <w:left w:val="nil"/>
              <w:bottom w:val="nil"/>
              <w:right w:val="nil"/>
            </w:tcBorders>
            <w:noWrap/>
            <w:vAlign w:val="center"/>
          </w:tcPr>
          <w:p w14:paraId="15A05D19"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r>
              <w:rPr>
                <w:rFonts w:ascii="Times New Roman" w:eastAsia="仿宋" w:hAnsi="Times New Roman" w:hint="eastAsia"/>
                <w:color w:val="000000"/>
                <w:kern w:val="0"/>
                <w:sz w:val="24"/>
                <w:szCs w:val="24"/>
                <w:lang w:bidi="ar"/>
              </w:rPr>
              <w:t>印度尼西亚国家石油公司</w:t>
            </w:r>
          </w:p>
        </w:tc>
        <w:tc>
          <w:tcPr>
            <w:tcW w:w="1987" w:type="dxa"/>
            <w:tcBorders>
              <w:top w:val="nil"/>
              <w:left w:val="nil"/>
              <w:bottom w:val="nil"/>
              <w:right w:val="nil"/>
            </w:tcBorders>
            <w:noWrap/>
            <w:vAlign w:val="center"/>
          </w:tcPr>
          <w:p w14:paraId="442057F5"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59.97</w:t>
            </w:r>
          </w:p>
        </w:tc>
      </w:tr>
      <w:tr w:rsidR="00DF1225" w14:paraId="148729EF" w14:textId="77777777">
        <w:trPr>
          <w:trHeight w:val="300"/>
        </w:trPr>
        <w:tc>
          <w:tcPr>
            <w:tcW w:w="2157" w:type="dxa"/>
            <w:tcBorders>
              <w:top w:val="nil"/>
              <w:left w:val="nil"/>
              <w:bottom w:val="nil"/>
              <w:right w:val="nil"/>
            </w:tcBorders>
            <w:noWrap/>
            <w:vAlign w:val="center"/>
          </w:tcPr>
          <w:p w14:paraId="1C0BA7B7"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24</w:t>
            </w:r>
          </w:p>
        </w:tc>
        <w:tc>
          <w:tcPr>
            <w:tcW w:w="4225" w:type="dxa"/>
            <w:tcBorders>
              <w:top w:val="nil"/>
              <w:left w:val="nil"/>
              <w:bottom w:val="nil"/>
              <w:right w:val="nil"/>
            </w:tcBorders>
            <w:noWrap/>
            <w:vAlign w:val="center"/>
          </w:tcPr>
          <w:p w14:paraId="062DDA3F"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r>
              <w:rPr>
                <w:rFonts w:ascii="Times New Roman" w:eastAsia="仿宋" w:hAnsi="Times New Roman" w:hint="eastAsia"/>
                <w:color w:val="000000"/>
                <w:kern w:val="0"/>
                <w:sz w:val="24"/>
                <w:szCs w:val="24"/>
                <w:lang w:bidi="ar"/>
              </w:rPr>
              <w:t>奥地利石油天然气集团</w:t>
            </w:r>
          </w:p>
        </w:tc>
        <w:tc>
          <w:tcPr>
            <w:tcW w:w="1987" w:type="dxa"/>
            <w:tcBorders>
              <w:top w:val="nil"/>
              <w:left w:val="nil"/>
              <w:bottom w:val="nil"/>
              <w:right w:val="nil"/>
            </w:tcBorders>
            <w:noWrap/>
            <w:vAlign w:val="center"/>
          </w:tcPr>
          <w:p w14:paraId="281A504C"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57.85</w:t>
            </w:r>
          </w:p>
        </w:tc>
      </w:tr>
      <w:tr w:rsidR="00DF1225" w14:paraId="3D0509AE" w14:textId="77777777">
        <w:trPr>
          <w:trHeight w:val="300"/>
        </w:trPr>
        <w:tc>
          <w:tcPr>
            <w:tcW w:w="2157" w:type="dxa"/>
            <w:tcBorders>
              <w:top w:val="nil"/>
              <w:left w:val="nil"/>
              <w:bottom w:val="nil"/>
              <w:right w:val="nil"/>
            </w:tcBorders>
            <w:noWrap/>
            <w:vAlign w:val="center"/>
          </w:tcPr>
          <w:p w14:paraId="206083C0"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25</w:t>
            </w:r>
          </w:p>
        </w:tc>
        <w:tc>
          <w:tcPr>
            <w:tcW w:w="4225" w:type="dxa"/>
            <w:tcBorders>
              <w:top w:val="nil"/>
              <w:left w:val="nil"/>
              <w:bottom w:val="nil"/>
              <w:right w:val="nil"/>
            </w:tcBorders>
            <w:noWrap/>
            <w:vAlign w:val="center"/>
          </w:tcPr>
          <w:p w14:paraId="31AB32FE"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proofErr w:type="spellStart"/>
            <w:r>
              <w:rPr>
                <w:rFonts w:ascii="Times New Roman" w:eastAsia="仿宋" w:hAnsi="Times New Roman" w:hint="eastAsia"/>
                <w:color w:val="000000"/>
                <w:kern w:val="0"/>
                <w:sz w:val="24"/>
                <w:szCs w:val="24"/>
                <w:lang w:bidi="ar"/>
              </w:rPr>
              <w:t>Ovintiv</w:t>
            </w:r>
            <w:proofErr w:type="spellEnd"/>
          </w:p>
        </w:tc>
        <w:tc>
          <w:tcPr>
            <w:tcW w:w="1987" w:type="dxa"/>
            <w:tcBorders>
              <w:top w:val="nil"/>
              <w:left w:val="nil"/>
              <w:bottom w:val="nil"/>
              <w:right w:val="nil"/>
            </w:tcBorders>
            <w:noWrap/>
            <w:vAlign w:val="center"/>
          </w:tcPr>
          <w:p w14:paraId="0FD016BD"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57.37</w:t>
            </w:r>
          </w:p>
        </w:tc>
      </w:tr>
      <w:tr w:rsidR="00DF1225" w14:paraId="3E750594" w14:textId="77777777">
        <w:trPr>
          <w:trHeight w:val="300"/>
        </w:trPr>
        <w:tc>
          <w:tcPr>
            <w:tcW w:w="2157" w:type="dxa"/>
            <w:tcBorders>
              <w:top w:val="nil"/>
              <w:left w:val="nil"/>
              <w:bottom w:val="nil"/>
              <w:right w:val="nil"/>
            </w:tcBorders>
            <w:noWrap/>
            <w:vAlign w:val="center"/>
          </w:tcPr>
          <w:p w14:paraId="05513AD2"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26</w:t>
            </w:r>
          </w:p>
        </w:tc>
        <w:tc>
          <w:tcPr>
            <w:tcW w:w="4225" w:type="dxa"/>
            <w:tcBorders>
              <w:top w:val="nil"/>
              <w:left w:val="nil"/>
              <w:bottom w:val="nil"/>
              <w:right w:val="nil"/>
            </w:tcBorders>
            <w:noWrap/>
            <w:vAlign w:val="center"/>
          </w:tcPr>
          <w:p w14:paraId="184A3F44"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r>
              <w:rPr>
                <w:rFonts w:ascii="Times New Roman" w:eastAsia="仿宋" w:hAnsi="Times New Roman" w:hint="eastAsia"/>
                <w:color w:val="000000"/>
                <w:kern w:val="0"/>
                <w:sz w:val="24"/>
                <w:szCs w:val="24"/>
                <w:lang w:bidi="ar"/>
              </w:rPr>
              <w:t>安特罗资源</w:t>
            </w:r>
          </w:p>
        </w:tc>
        <w:tc>
          <w:tcPr>
            <w:tcW w:w="1987" w:type="dxa"/>
            <w:tcBorders>
              <w:top w:val="nil"/>
              <w:left w:val="nil"/>
              <w:bottom w:val="nil"/>
              <w:right w:val="nil"/>
            </w:tcBorders>
            <w:noWrap/>
            <w:vAlign w:val="center"/>
          </w:tcPr>
          <w:p w14:paraId="7369D749"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57.08</w:t>
            </w:r>
          </w:p>
        </w:tc>
      </w:tr>
      <w:tr w:rsidR="00DF1225" w14:paraId="4501A3AE" w14:textId="77777777">
        <w:trPr>
          <w:trHeight w:val="300"/>
        </w:trPr>
        <w:tc>
          <w:tcPr>
            <w:tcW w:w="2157" w:type="dxa"/>
            <w:tcBorders>
              <w:top w:val="nil"/>
              <w:left w:val="nil"/>
              <w:bottom w:val="single" w:sz="12" w:space="0" w:color="000000"/>
              <w:right w:val="nil"/>
            </w:tcBorders>
            <w:noWrap/>
            <w:vAlign w:val="center"/>
          </w:tcPr>
          <w:p w14:paraId="2A63D48F"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27</w:t>
            </w:r>
          </w:p>
        </w:tc>
        <w:tc>
          <w:tcPr>
            <w:tcW w:w="4225" w:type="dxa"/>
            <w:tcBorders>
              <w:top w:val="nil"/>
              <w:left w:val="nil"/>
              <w:bottom w:val="single" w:sz="12" w:space="0" w:color="000000"/>
              <w:right w:val="nil"/>
            </w:tcBorders>
            <w:noWrap/>
            <w:vAlign w:val="center"/>
          </w:tcPr>
          <w:p w14:paraId="52DE4AF7" w14:textId="77777777" w:rsidR="00DF1225" w:rsidRDefault="00000000">
            <w:pPr>
              <w:widowControl/>
              <w:jc w:val="center"/>
              <w:textAlignment w:val="center"/>
              <w:rPr>
                <w:rFonts w:ascii="仿宋" w:eastAsia="仿宋" w:hAnsi="仿宋" w:cs="仿宋" w:hint="eastAsia"/>
                <w:color w:val="000000"/>
                <w:kern w:val="0"/>
                <w:sz w:val="24"/>
                <w:szCs w:val="24"/>
                <w:highlight w:val="green"/>
                <w:lang w:bidi="ar"/>
              </w:rPr>
            </w:pPr>
            <w:r>
              <w:rPr>
                <w:rFonts w:ascii="Times New Roman" w:eastAsia="仿宋" w:hAnsi="Times New Roman" w:hint="eastAsia"/>
                <w:color w:val="000000"/>
                <w:kern w:val="0"/>
                <w:sz w:val="24"/>
                <w:szCs w:val="24"/>
                <w:lang w:bidi="ar"/>
              </w:rPr>
              <w:t>Range</w:t>
            </w:r>
            <w:r>
              <w:rPr>
                <w:rFonts w:ascii="Times New Roman" w:eastAsia="仿宋" w:hAnsi="Times New Roman" w:hint="eastAsia"/>
                <w:color w:val="000000"/>
                <w:kern w:val="0"/>
                <w:sz w:val="24"/>
                <w:szCs w:val="24"/>
                <w:lang w:bidi="ar"/>
              </w:rPr>
              <w:t>资源</w:t>
            </w:r>
          </w:p>
        </w:tc>
        <w:tc>
          <w:tcPr>
            <w:tcW w:w="1987" w:type="dxa"/>
            <w:tcBorders>
              <w:top w:val="nil"/>
              <w:left w:val="nil"/>
              <w:bottom w:val="single" w:sz="12" w:space="0" w:color="000000"/>
              <w:right w:val="nil"/>
            </w:tcBorders>
            <w:noWrap/>
            <w:vAlign w:val="center"/>
          </w:tcPr>
          <w:p w14:paraId="34EEB77A" w14:textId="77777777" w:rsidR="00DF1225" w:rsidRDefault="00000000">
            <w:pPr>
              <w:widowControl/>
              <w:jc w:val="center"/>
              <w:textAlignment w:val="center"/>
              <w:rPr>
                <w:rFonts w:ascii="Times New Roman" w:eastAsia="仿宋" w:hAnsi="Times New Roman"/>
                <w:color w:val="000000"/>
                <w:kern w:val="0"/>
                <w:sz w:val="24"/>
                <w:szCs w:val="24"/>
                <w:highlight w:val="green"/>
                <w:lang w:bidi="ar"/>
              </w:rPr>
            </w:pPr>
            <w:r>
              <w:rPr>
                <w:rFonts w:ascii="Times New Roman" w:eastAsia="仿宋" w:hAnsi="Times New Roman" w:hint="eastAsia"/>
                <w:color w:val="000000"/>
                <w:kern w:val="0"/>
                <w:sz w:val="24"/>
                <w:szCs w:val="24"/>
                <w:lang w:bidi="ar"/>
              </w:rPr>
              <w:t>54.32</w:t>
            </w:r>
          </w:p>
        </w:tc>
      </w:tr>
    </w:tbl>
    <w:p w14:paraId="6AF11450" w14:textId="77777777" w:rsidR="00DF1225" w:rsidRDefault="00000000">
      <w:pPr>
        <w:spacing w:line="360" w:lineRule="auto"/>
        <w:outlineLvl w:val="1"/>
        <w:rPr>
          <w:rFonts w:ascii="Times New Roman" w:eastAsia="仿宋" w:hAnsi="Times New Roman"/>
          <w:sz w:val="28"/>
          <w:szCs w:val="28"/>
        </w:rPr>
      </w:pPr>
      <w:r>
        <w:rPr>
          <w:rFonts w:ascii="Times New Roman" w:eastAsia="仿宋" w:hAnsi="Times New Roman" w:hint="eastAsia"/>
          <w:b/>
          <w:bCs/>
          <w:sz w:val="28"/>
          <w:szCs w:val="28"/>
        </w:rPr>
        <w:t>3.5</w:t>
      </w:r>
      <w:r>
        <w:rPr>
          <w:rFonts w:ascii="Times New Roman" w:eastAsia="仿宋" w:hAnsi="Times New Roman" w:hint="eastAsia"/>
          <w:b/>
          <w:bCs/>
          <w:sz w:val="28"/>
          <w:szCs w:val="28"/>
        </w:rPr>
        <w:t>石油公司转型画像分析</w:t>
      </w:r>
    </w:p>
    <w:p w14:paraId="3DA5338E" w14:textId="77777777" w:rsidR="00DF1225" w:rsidRDefault="00000000">
      <w:pPr>
        <w:spacing w:line="360" w:lineRule="auto"/>
        <w:ind w:firstLineChars="200" w:firstLine="560"/>
        <w:rPr>
          <w:rFonts w:ascii="Times New Roman" w:eastAsia="仿宋" w:hAnsi="Times New Roman"/>
          <w:color w:val="000000" w:themeColor="text1"/>
          <w:sz w:val="28"/>
          <w:szCs w:val="28"/>
        </w:rPr>
      </w:pPr>
      <w:r>
        <w:rPr>
          <w:rFonts w:ascii="Times New Roman" w:eastAsia="仿宋" w:hAnsi="Times New Roman" w:hint="eastAsia"/>
          <w:color w:val="000000" w:themeColor="text1"/>
          <w:sz w:val="28"/>
          <w:szCs w:val="28"/>
        </w:rPr>
        <w:t>本报告根据所研究的</w:t>
      </w:r>
      <w:r>
        <w:rPr>
          <w:rFonts w:ascii="Times New Roman" w:eastAsia="仿宋" w:hAnsi="Times New Roman" w:hint="eastAsia"/>
          <w:color w:val="000000" w:themeColor="text1"/>
          <w:sz w:val="28"/>
          <w:szCs w:val="28"/>
        </w:rPr>
        <w:t>27</w:t>
      </w:r>
      <w:r>
        <w:rPr>
          <w:rFonts w:ascii="Times New Roman" w:eastAsia="仿宋" w:hAnsi="Times New Roman" w:hint="eastAsia"/>
          <w:color w:val="000000" w:themeColor="text1"/>
          <w:sz w:val="28"/>
          <w:szCs w:val="28"/>
        </w:rPr>
        <w:t>家石油公司言、行和果三个维度评分，结合</w:t>
      </w:r>
      <w:r>
        <w:rPr>
          <w:rFonts w:ascii="Times New Roman" w:eastAsia="仿宋" w:hAnsi="Times New Roman" w:hint="eastAsia"/>
          <w:color w:val="000000" w:themeColor="text1"/>
          <w:sz w:val="28"/>
          <w:szCs w:val="28"/>
        </w:rPr>
        <w:t>Ward</w:t>
      </w:r>
      <w:r>
        <w:rPr>
          <w:rFonts w:ascii="Times New Roman" w:eastAsia="仿宋" w:hAnsi="Times New Roman" w:hint="eastAsia"/>
          <w:color w:val="000000" w:themeColor="text1"/>
          <w:sz w:val="28"/>
          <w:szCs w:val="28"/>
        </w:rPr>
        <w:t>层次聚类法，综合分析不同公司三个维度评分分布情况，刻画相关公司在转型中共同存在的特征，归纳石油公司的具体转型画像分布。通过分析树状图，可以将本次研究的</w:t>
      </w:r>
      <w:r>
        <w:rPr>
          <w:rFonts w:ascii="Times New Roman" w:eastAsia="仿宋" w:hAnsi="Times New Roman" w:hint="eastAsia"/>
          <w:color w:val="000000" w:themeColor="text1"/>
          <w:sz w:val="28"/>
          <w:szCs w:val="28"/>
        </w:rPr>
        <w:t>27</w:t>
      </w:r>
      <w:r>
        <w:rPr>
          <w:rFonts w:ascii="Times New Roman" w:eastAsia="仿宋" w:hAnsi="Times New Roman" w:hint="eastAsia"/>
          <w:color w:val="000000" w:themeColor="text1"/>
          <w:sz w:val="28"/>
          <w:szCs w:val="28"/>
        </w:rPr>
        <w:t>家企业分为四类转型画像，分别为：务实见效型、择路渐进型、布局承压型和提效缓进型，具体企业分布见图</w:t>
      </w:r>
      <w:r>
        <w:rPr>
          <w:rFonts w:ascii="Times New Roman" w:eastAsia="仿宋" w:hAnsi="Times New Roman" w:hint="eastAsia"/>
          <w:color w:val="000000" w:themeColor="text1"/>
          <w:sz w:val="28"/>
          <w:szCs w:val="28"/>
        </w:rPr>
        <w:t>6</w:t>
      </w:r>
      <w:r>
        <w:rPr>
          <w:rFonts w:ascii="Times New Roman" w:eastAsia="仿宋" w:hAnsi="Times New Roman" w:hint="eastAsia"/>
          <w:color w:val="000000" w:themeColor="text1"/>
          <w:sz w:val="28"/>
          <w:szCs w:val="28"/>
        </w:rPr>
        <w:t>。</w:t>
      </w:r>
    </w:p>
    <w:p w14:paraId="05B7970C" w14:textId="7B3B002F" w:rsidR="00DF1225" w:rsidRDefault="00000000">
      <w:pPr>
        <w:jc w:val="center"/>
        <w:rPr>
          <w:rFonts w:ascii="Times New Roman" w:eastAsia="仿宋" w:hAnsi="Times New Roman"/>
          <w:color w:val="000000" w:themeColor="text1"/>
          <w:sz w:val="28"/>
          <w:szCs w:val="28"/>
        </w:rPr>
      </w:pPr>
      <w:r>
        <w:rPr>
          <w:rFonts w:ascii="Times New Roman" w:eastAsia="仿宋" w:hAnsi="Times New Roman" w:hint="eastAsia"/>
          <w:noProof/>
          <w:color w:val="000000" w:themeColor="text1"/>
          <w:sz w:val="28"/>
          <w:szCs w:val="28"/>
        </w:rPr>
        <w:drawing>
          <wp:inline distT="0" distB="0" distL="114300" distR="114300" wp14:anchorId="5E333074" wp14:editId="6CD6BDBC">
            <wp:extent cx="5274000" cy="3843727"/>
            <wp:effectExtent l="0" t="0" r="8255" b="24130"/>
            <wp:docPr id="17" name="图片 9" descr="1_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descr="1_02(1)"/>
                    <pic:cNvPicPr>
                      <a:picLocks noChangeAspect="1"/>
                    </pic:cNvPicPr>
                  </pic:nvPicPr>
                  <pic:blipFill>
                    <a:blip r:embed="rId12"/>
                    <a:srcRect l="12467" t="493" r="12093" b="1779"/>
                    <a:stretch>
                      <a:fillRect/>
                    </a:stretch>
                  </pic:blipFill>
                  <pic:spPr>
                    <a:xfrm>
                      <a:off x="0" y="0"/>
                      <a:ext cx="5274000" cy="3843727"/>
                    </a:xfrm>
                    <a:prstGeom prst="rect">
                      <a:avLst/>
                    </a:prstGeom>
                  </pic:spPr>
                </pic:pic>
              </a:graphicData>
            </a:graphic>
          </wp:inline>
        </w:drawing>
      </w:r>
    </w:p>
    <w:p w14:paraId="6F2A4D45" w14:textId="77777777" w:rsidR="00DF1225" w:rsidRDefault="00000000">
      <w:pPr>
        <w:spacing w:line="360" w:lineRule="auto"/>
        <w:ind w:firstLineChars="200" w:firstLine="560"/>
        <w:rPr>
          <w:rFonts w:ascii="Times New Roman" w:eastAsia="仿宋" w:hAnsi="Times New Roman"/>
          <w:color w:val="000000" w:themeColor="text1"/>
          <w:sz w:val="28"/>
          <w:szCs w:val="28"/>
        </w:rPr>
      </w:pPr>
      <w:r>
        <w:rPr>
          <w:rFonts w:ascii="Times New Roman" w:eastAsia="仿宋" w:hAnsi="Times New Roman" w:hint="eastAsia"/>
          <w:color w:val="000000" w:themeColor="text1"/>
          <w:sz w:val="28"/>
          <w:szCs w:val="28"/>
        </w:rPr>
        <w:t>（</w:t>
      </w:r>
      <w:r>
        <w:rPr>
          <w:rFonts w:ascii="Times New Roman" w:eastAsia="仿宋" w:hAnsi="Times New Roman" w:hint="eastAsia"/>
          <w:color w:val="000000" w:themeColor="text1"/>
          <w:sz w:val="28"/>
          <w:szCs w:val="28"/>
        </w:rPr>
        <w:t>1</w:t>
      </w:r>
      <w:r>
        <w:rPr>
          <w:rFonts w:ascii="Times New Roman" w:eastAsia="仿宋" w:hAnsi="Times New Roman" w:hint="eastAsia"/>
          <w:color w:val="000000" w:themeColor="text1"/>
          <w:sz w:val="28"/>
          <w:szCs w:val="28"/>
        </w:rPr>
        <w:t>）务实见效型公司包含埃尼、道达尔能源和挪威国家石油公</w:t>
      </w:r>
      <w:r>
        <w:rPr>
          <w:rFonts w:ascii="Times New Roman" w:eastAsia="仿宋" w:hAnsi="Times New Roman" w:hint="eastAsia"/>
          <w:color w:val="000000" w:themeColor="text1"/>
          <w:sz w:val="28"/>
          <w:szCs w:val="28"/>
        </w:rPr>
        <w:lastRenderedPageBreak/>
        <w:t>司</w:t>
      </w:r>
      <w:r>
        <w:rPr>
          <w:rFonts w:ascii="Times New Roman" w:eastAsia="仿宋" w:hAnsi="Times New Roman" w:hint="eastAsia"/>
          <w:color w:val="000000" w:themeColor="text1"/>
          <w:sz w:val="28"/>
          <w:szCs w:val="28"/>
        </w:rPr>
        <w:t>3</w:t>
      </w:r>
      <w:r>
        <w:rPr>
          <w:rFonts w:ascii="Times New Roman" w:eastAsia="仿宋" w:hAnsi="Times New Roman" w:hint="eastAsia"/>
          <w:color w:val="000000" w:themeColor="text1"/>
          <w:sz w:val="28"/>
          <w:szCs w:val="28"/>
        </w:rPr>
        <w:t>家企业，整体呈现态度居中，行动和成效较高的分数分布。三家企业整体的公开表达对于转型的态度宣示内容并不密集，更多围绕企业转型业务和投资情况展开；同时在低碳资本投入、业务组织、目标执行以及协会参与等多实践维度有更强的支撑；其</w:t>
      </w:r>
      <w:r>
        <w:rPr>
          <w:rFonts w:ascii="Times New Roman" w:eastAsia="仿宋" w:hAnsi="Times New Roman" w:hint="eastAsia"/>
          <w:color w:val="000000" w:themeColor="text1"/>
          <w:sz w:val="28"/>
          <w:szCs w:val="28"/>
        </w:rPr>
        <w:t>2025</w:t>
      </w:r>
      <w:r>
        <w:rPr>
          <w:rFonts w:ascii="Times New Roman" w:eastAsia="仿宋" w:hAnsi="Times New Roman" w:hint="eastAsia"/>
          <w:color w:val="000000" w:themeColor="text1"/>
          <w:sz w:val="28"/>
          <w:szCs w:val="28"/>
        </w:rPr>
        <w:t>年的整体</w:t>
      </w:r>
      <w:proofErr w:type="gramStart"/>
      <w:r>
        <w:rPr>
          <w:rFonts w:ascii="Times New Roman" w:eastAsia="仿宋" w:hAnsi="Times New Roman" w:hint="eastAsia"/>
          <w:color w:val="000000" w:themeColor="text1"/>
          <w:sz w:val="28"/>
          <w:szCs w:val="28"/>
        </w:rPr>
        <w:t>转型成效</w:t>
      </w:r>
      <w:proofErr w:type="gramEnd"/>
      <w:r>
        <w:rPr>
          <w:rFonts w:ascii="Times New Roman" w:eastAsia="仿宋" w:hAnsi="Times New Roman" w:hint="eastAsia"/>
          <w:color w:val="000000" w:themeColor="text1"/>
          <w:sz w:val="28"/>
          <w:szCs w:val="28"/>
        </w:rPr>
        <w:t>也位于前列。展现出了表达务实，执行上持续推进且已初步反馈运营结果的转型路径。</w:t>
      </w:r>
    </w:p>
    <w:p w14:paraId="44E34CD2" w14:textId="77777777" w:rsidR="00DF1225" w:rsidRDefault="00000000">
      <w:pPr>
        <w:spacing w:line="360" w:lineRule="auto"/>
        <w:ind w:firstLineChars="200" w:firstLine="560"/>
        <w:rPr>
          <w:rFonts w:ascii="Times New Roman" w:eastAsia="仿宋" w:hAnsi="Times New Roman"/>
          <w:color w:val="000000" w:themeColor="text1"/>
          <w:sz w:val="28"/>
          <w:szCs w:val="28"/>
        </w:rPr>
      </w:pPr>
      <w:r>
        <w:rPr>
          <w:rFonts w:ascii="Times New Roman" w:eastAsia="仿宋" w:hAnsi="Times New Roman" w:hint="eastAsia"/>
          <w:color w:val="000000" w:themeColor="text1"/>
          <w:sz w:val="28"/>
          <w:szCs w:val="28"/>
        </w:rPr>
        <w:t>此类企业由欧洲国际石油公司构成，他们具备大力发展转型业务的资本、管理能力、技术平台与客户基础，因此相关</w:t>
      </w:r>
      <w:proofErr w:type="gramStart"/>
      <w:r>
        <w:rPr>
          <w:rFonts w:ascii="Times New Roman" w:eastAsia="仿宋" w:hAnsi="Times New Roman" w:hint="eastAsia"/>
          <w:color w:val="000000" w:themeColor="text1"/>
          <w:sz w:val="28"/>
          <w:szCs w:val="28"/>
        </w:rPr>
        <w:t>减排类业务</w:t>
      </w:r>
      <w:proofErr w:type="gramEnd"/>
      <w:r>
        <w:rPr>
          <w:rFonts w:ascii="Times New Roman" w:eastAsia="仿宋" w:hAnsi="Times New Roman" w:hint="eastAsia"/>
          <w:color w:val="000000" w:themeColor="text1"/>
          <w:sz w:val="28"/>
          <w:szCs w:val="28"/>
        </w:rPr>
        <w:t>与企业内的相关尤其经营活动实现有效配合。企业所处的欧洲地区提供了更为成熟的碳政策、电力市场和减</w:t>
      </w:r>
      <w:proofErr w:type="gramStart"/>
      <w:r>
        <w:rPr>
          <w:rFonts w:ascii="Times New Roman" w:eastAsia="仿宋" w:hAnsi="Times New Roman" w:hint="eastAsia"/>
          <w:color w:val="000000" w:themeColor="text1"/>
          <w:sz w:val="28"/>
          <w:szCs w:val="28"/>
        </w:rPr>
        <w:t>排基础</w:t>
      </w:r>
      <w:proofErr w:type="gramEnd"/>
      <w:r>
        <w:rPr>
          <w:rFonts w:ascii="Times New Roman" w:eastAsia="仿宋" w:hAnsi="Times New Roman" w:hint="eastAsia"/>
          <w:color w:val="000000" w:themeColor="text1"/>
          <w:sz w:val="28"/>
          <w:szCs w:val="28"/>
        </w:rPr>
        <w:t>设施，为其有效推进减</w:t>
      </w:r>
      <w:proofErr w:type="gramStart"/>
      <w:r>
        <w:rPr>
          <w:rFonts w:ascii="Times New Roman" w:eastAsia="仿宋" w:hAnsi="Times New Roman" w:hint="eastAsia"/>
          <w:color w:val="000000" w:themeColor="text1"/>
          <w:sz w:val="28"/>
          <w:szCs w:val="28"/>
        </w:rPr>
        <w:t>排业务</w:t>
      </w:r>
      <w:proofErr w:type="gramEnd"/>
      <w:r>
        <w:rPr>
          <w:rFonts w:ascii="Times New Roman" w:eastAsia="仿宋" w:hAnsi="Times New Roman" w:hint="eastAsia"/>
          <w:color w:val="000000" w:themeColor="text1"/>
          <w:sz w:val="28"/>
          <w:szCs w:val="28"/>
        </w:rPr>
        <w:t>提供了助力条件。三家公司减排所依托的重点业务与项目不同，但都已充分积累能力跨越项目示范阶段，在企业集团内部持续推进并形成减排成效。</w:t>
      </w:r>
    </w:p>
    <w:p w14:paraId="5F06FEC3" w14:textId="77777777" w:rsidR="00DF1225" w:rsidRDefault="00000000">
      <w:pPr>
        <w:spacing w:line="360" w:lineRule="auto"/>
        <w:ind w:firstLineChars="200" w:firstLine="560"/>
        <w:rPr>
          <w:rFonts w:ascii="Times New Roman" w:eastAsia="仿宋" w:hAnsi="Times New Roman"/>
          <w:color w:val="000000" w:themeColor="text1"/>
          <w:sz w:val="28"/>
          <w:szCs w:val="28"/>
        </w:rPr>
      </w:pPr>
      <w:r>
        <w:rPr>
          <w:rFonts w:ascii="Times New Roman" w:eastAsia="仿宋" w:hAnsi="Times New Roman" w:hint="eastAsia"/>
          <w:color w:val="000000" w:themeColor="text1"/>
          <w:sz w:val="28"/>
          <w:szCs w:val="28"/>
        </w:rPr>
        <w:t>（</w:t>
      </w:r>
      <w:r>
        <w:rPr>
          <w:rFonts w:ascii="Times New Roman" w:eastAsia="仿宋" w:hAnsi="Times New Roman" w:hint="eastAsia"/>
          <w:color w:val="000000" w:themeColor="text1"/>
          <w:sz w:val="28"/>
          <w:szCs w:val="28"/>
        </w:rPr>
        <w:t>2</w:t>
      </w:r>
      <w:r>
        <w:rPr>
          <w:rFonts w:ascii="Times New Roman" w:eastAsia="仿宋" w:hAnsi="Times New Roman" w:hint="eastAsia"/>
          <w:color w:val="000000" w:themeColor="text1"/>
          <w:sz w:val="28"/>
          <w:szCs w:val="28"/>
        </w:rPr>
        <w:t>）择路渐进型公司包括日本帝国石油公司、西方石油、马来西亚国家石油公司、壳牌、沙特阿美、巴西国家石油公司、泰国国家石油公司、埃克森美孚、哥伦比亚国家石油公司、雪佛龙和康菲共</w:t>
      </w:r>
      <w:r>
        <w:rPr>
          <w:rFonts w:ascii="Times New Roman" w:eastAsia="仿宋" w:hAnsi="Times New Roman" w:hint="eastAsia"/>
          <w:color w:val="000000" w:themeColor="text1"/>
          <w:sz w:val="28"/>
          <w:szCs w:val="28"/>
        </w:rPr>
        <w:t>11</w:t>
      </w:r>
      <w:r>
        <w:rPr>
          <w:rFonts w:ascii="Times New Roman" w:eastAsia="仿宋" w:hAnsi="Times New Roman" w:hint="eastAsia"/>
          <w:color w:val="000000" w:themeColor="text1"/>
          <w:sz w:val="28"/>
          <w:szCs w:val="28"/>
        </w:rPr>
        <w:t>家企业，是分布最广的一类转型画像。其整体在转型态度与成效较强，行动位于中间区域。此类企业普遍明确了转型方向，具备发展支持减排的资产、技术或运营基础，但整体在行动维度上</w:t>
      </w:r>
      <w:proofErr w:type="gramStart"/>
      <w:r>
        <w:rPr>
          <w:rFonts w:ascii="Times New Roman" w:eastAsia="仿宋" w:hAnsi="Times New Roman" w:hint="eastAsia"/>
          <w:color w:val="000000" w:themeColor="text1"/>
          <w:sz w:val="28"/>
          <w:szCs w:val="28"/>
        </w:rPr>
        <w:t>仍距离</w:t>
      </w:r>
      <w:proofErr w:type="gramEnd"/>
      <w:r>
        <w:rPr>
          <w:rFonts w:ascii="Times New Roman" w:eastAsia="仿宋" w:hAnsi="Times New Roman" w:hint="eastAsia"/>
          <w:color w:val="000000" w:themeColor="text1"/>
          <w:sz w:val="28"/>
          <w:szCs w:val="28"/>
        </w:rPr>
        <w:t>部分企业存在一定的差距。这些企业当前在具体的转型业务选择上围绕既有资源与能力展开。</w:t>
      </w:r>
    </w:p>
    <w:p w14:paraId="2A685CF4" w14:textId="77777777" w:rsidR="00DF1225" w:rsidRDefault="00000000">
      <w:pPr>
        <w:spacing w:line="360" w:lineRule="auto"/>
        <w:ind w:firstLineChars="200" w:firstLine="560"/>
        <w:rPr>
          <w:rFonts w:ascii="Times New Roman" w:eastAsia="仿宋" w:hAnsi="Times New Roman"/>
          <w:color w:val="000000" w:themeColor="text1"/>
          <w:sz w:val="28"/>
          <w:szCs w:val="28"/>
        </w:rPr>
      </w:pPr>
      <w:r>
        <w:rPr>
          <w:rFonts w:ascii="Times New Roman" w:eastAsia="仿宋" w:hAnsi="Times New Roman" w:hint="eastAsia"/>
          <w:color w:val="000000" w:themeColor="text1"/>
          <w:sz w:val="28"/>
          <w:szCs w:val="28"/>
        </w:rPr>
        <w:t>这一画像中包含的企业类型与地区各不相同，但其最终的转型路</w:t>
      </w:r>
      <w:r>
        <w:rPr>
          <w:rFonts w:ascii="Times New Roman" w:eastAsia="仿宋" w:hAnsi="Times New Roman" w:hint="eastAsia"/>
          <w:color w:val="000000" w:themeColor="text1"/>
          <w:sz w:val="28"/>
          <w:szCs w:val="28"/>
        </w:rPr>
        <w:lastRenderedPageBreak/>
        <w:t>径与业务选择殊途同归。国家石油公司需要兼顾能源供应与产业发展，因此通常情况下转型与油气扩展或稳定供应并行；国际石油公司更注重资本回报和项目选择，低碳投入逐步集中于具有技术和客户基础的领域；独立石油公司则更倾向集中资源形成某项技术优势。这些不同的转型路径选择使这些企业收获了一定的转型成效，说明他们目前初步找到了与自身企业的转型方向，在未来仍需不断突破重点领域，逐步扩展自身的转型规模，实现多维度转型的协同发展。</w:t>
      </w:r>
    </w:p>
    <w:p w14:paraId="00C2B584" w14:textId="77777777" w:rsidR="00DF1225" w:rsidRDefault="00000000">
      <w:pPr>
        <w:spacing w:line="360" w:lineRule="auto"/>
        <w:ind w:firstLineChars="200" w:firstLine="560"/>
        <w:rPr>
          <w:rFonts w:ascii="Times New Roman" w:eastAsia="仿宋" w:hAnsi="Times New Roman"/>
          <w:color w:val="000000" w:themeColor="text1"/>
          <w:sz w:val="28"/>
          <w:szCs w:val="28"/>
        </w:rPr>
      </w:pPr>
      <w:r>
        <w:rPr>
          <w:rFonts w:ascii="Times New Roman" w:eastAsia="仿宋" w:hAnsi="Times New Roman" w:hint="eastAsia"/>
          <w:color w:val="000000" w:themeColor="text1"/>
          <w:sz w:val="28"/>
          <w:szCs w:val="28"/>
        </w:rPr>
        <w:t>（</w:t>
      </w:r>
      <w:r>
        <w:rPr>
          <w:rFonts w:ascii="Times New Roman" w:eastAsia="仿宋" w:hAnsi="Times New Roman" w:hint="eastAsia"/>
          <w:color w:val="000000" w:themeColor="text1"/>
          <w:sz w:val="28"/>
          <w:szCs w:val="28"/>
        </w:rPr>
        <w:t>3</w:t>
      </w:r>
      <w:r>
        <w:rPr>
          <w:rFonts w:ascii="Times New Roman" w:eastAsia="仿宋" w:hAnsi="Times New Roman" w:hint="eastAsia"/>
          <w:color w:val="000000" w:themeColor="text1"/>
          <w:sz w:val="28"/>
          <w:szCs w:val="28"/>
        </w:rPr>
        <w:t>）布局承压型公司包括雷普索尔、英国石油公司、印度尼西亚国家石油公司和奥地利石油天然气集团，整体呈现态度相对谨慎，行动较为有力，成效偏弱的结构。这些公司有较为明确的转型行动安排与布局，因而在行动维度形成了优势，但却并未在碳强度或年度改善上获得与行动对应成效。反映出了资源配置与业务建设启动，但排放结构改善相对滞后的当前转型路径。</w:t>
      </w:r>
    </w:p>
    <w:p w14:paraId="48BA3742" w14:textId="77777777" w:rsidR="00DF1225" w:rsidRDefault="00000000">
      <w:pPr>
        <w:spacing w:line="360" w:lineRule="auto"/>
        <w:ind w:firstLineChars="200" w:firstLine="560"/>
        <w:rPr>
          <w:rFonts w:ascii="Times New Roman" w:eastAsia="仿宋" w:hAnsi="Times New Roman"/>
          <w:color w:val="000000" w:themeColor="text1"/>
          <w:sz w:val="28"/>
          <w:szCs w:val="28"/>
        </w:rPr>
      </w:pPr>
      <w:r>
        <w:rPr>
          <w:rFonts w:ascii="Times New Roman" w:eastAsia="仿宋" w:hAnsi="Times New Roman" w:hint="eastAsia"/>
          <w:color w:val="000000" w:themeColor="text1"/>
          <w:sz w:val="28"/>
          <w:szCs w:val="28"/>
        </w:rPr>
        <w:t>这一类转型画像的形成主要与企业的业务和资产结构有关，此类企业拥有较大规模的传统油气、炼化、燃料生产或终端供应业务，低碳投入与传统高排放重资产业务同时存在，进而导致新增行动未能充分改善集团层面的减</w:t>
      </w:r>
      <w:proofErr w:type="gramStart"/>
      <w:r>
        <w:rPr>
          <w:rFonts w:ascii="Times New Roman" w:eastAsia="仿宋" w:hAnsi="Times New Roman" w:hint="eastAsia"/>
          <w:color w:val="000000" w:themeColor="text1"/>
          <w:sz w:val="28"/>
          <w:szCs w:val="28"/>
        </w:rPr>
        <w:t>排成效</w:t>
      </w:r>
      <w:proofErr w:type="gramEnd"/>
      <w:r>
        <w:rPr>
          <w:rFonts w:ascii="Times New Roman" w:eastAsia="仿宋" w:hAnsi="Times New Roman" w:hint="eastAsia"/>
          <w:color w:val="000000" w:themeColor="text1"/>
          <w:sz w:val="28"/>
          <w:szCs w:val="28"/>
        </w:rPr>
        <w:t>表现。同时此类企业的态度评分也较低，体现企业的战略与经营责任构成其当前转型状态的另一大影响因素。部分企业在</w:t>
      </w:r>
      <w:r>
        <w:rPr>
          <w:rFonts w:ascii="Times New Roman" w:eastAsia="仿宋" w:hAnsi="Times New Roman" w:hint="eastAsia"/>
          <w:color w:val="000000" w:themeColor="text1"/>
          <w:sz w:val="28"/>
          <w:szCs w:val="28"/>
        </w:rPr>
        <w:t>2025</w:t>
      </w:r>
      <w:r>
        <w:rPr>
          <w:rFonts w:ascii="Times New Roman" w:eastAsia="仿宋" w:hAnsi="Times New Roman" w:hint="eastAsia"/>
          <w:color w:val="000000" w:themeColor="text1"/>
          <w:sz w:val="28"/>
          <w:szCs w:val="28"/>
        </w:rPr>
        <w:t>年强化了资本回报与油气业务，因此在转型方面的公开表态更为保守；另一些企业则承担了较强的国内能源供应责任，要维持传统燃料的生产与供应，体现了内部战略导向对于企业整体转型路径的影响。此类企业后续的转型发展方向取决于能否将已有转型</w:t>
      </w:r>
      <w:r>
        <w:rPr>
          <w:rFonts w:ascii="Times New Roman" w:eastAsia="仿宋" w:hAnsi="Times New Roman" w:hint="eastAsia"/>
          <w:color w:val="000000" w:themeColor="text1"/>
          <w:sz w:val="28"/>
          <w:szCs w:val="28"/>
        </w:rPr>
        <w:lastRenderedPageBreak/>
        <w:t>领域的资本布局持续进入规模扩张与传统资产的替代，将行动优势转化为稳定的减</w:t>
      </w:r>
      <w:proofErr w:type="gramStart"/>
      <w:r>
        <w:rPr>
          <w:rFonts w:ascii="Times New Roman" w:eastAsia="仿宋" w:hAnsi="Times New Roman" w:hint="eastAsia"/>
          <w:color w:val="000000" w:themeColor="text1"/>
          <w:sz w:val="28"/>
          <w:szCs w:val="28"/>
        </w:rPr>
        <w:t>排成效</w:t>
      </w:r>
      <w:proofErr w:type="gramEnd"/>
      <w:r>
        <w:rPr>
          <w:rFonts w:ascii="Times New Roman" w:eastAsia="仿宋" w:hAnsi="Times New Roman" w:hint="eastAsia"/>
          <w:color w:val="000000" w:themeColor="text1"/>
          <w:sz w:val="28"/>
          <w:szCs w:val="28"/>
        </w:rPr>
        <w:t>改善。</w:t>
      </w:r>
    </w:p>
    <w:p w14:paraId="2AE6C28F" w14:textId="77777777" w:rsidR="00DF1225" w:rsidRDefault="00000000">
      <w:pPr>
        <w:spacing w:line="360" w:lineRule="auto"/>
        <w:ind w:firstLineChars="200" w:firstLine="560"/>
        <w:rPr>
          <w:rFonts w:ascii="Times New Roman" w:eastAsia="仿宋" w:hAnsi="Times New Roman"/>
          <w:color w:val="000000" w:themeColor="text1"/>
          <w:sz w:val="28"/>
          <w:szCs w:val="28"/>
        </w:rPr>
      </w:pPr>
      <w:r>
        <w:rPr>
          <w:rFonts w:ascii="Times New Roman" w:eastAsia="仿宋" w:hAnsi="Times New Roman" w:hint="eastAsia"/>
          <w:color w:val="000000" w:themeColor="text1"/>
          <w:sz w:val="28"/>
          <w:szCs w:val="28"/>
        </w:rPr>
        <w:t>（</w:t>
      </w:r>
      <w:r>
        <w:rPr>
          <w:rFonts w:ascii="Times New Roman" w:eastAsia="仿宋" w:hAnsi="Times New Roman" w:hint="eastAsia"/>
          <w:color w:val="000000" w:themeColor="text1"/>
          <w:sz w:val="28"/>
          <w:szCs w:val="28"/>
        </w:rPr>
        <w:t>4</w:t>
      </w:r>
      <w:r>
        <w:rPr>
          <w:rFonts w:ascii="Times New Roman" w:eastAsia="仿宋" w:hAnsi="Times New Roman" w:hint="eastAsia"/>
          <w:color w:val="000000" w:themeColor="text1"/>
          <w:sz w:val="28"/>
          <w:szCs w:val="28"/>
        </w:rPr>
        <w:t>）提效缓进型包括卢克、诺瓦泰克、印度国家石油公司、</w:t>
      </w:r>
      <w:r>
        <w:rPr>
          <w:rFonts w:ascii="Times New Roman" w:eastAsia="仿宋" w:hAnsi="Times New Roman" w:hint="eastAsia"/>
          <w:sz w:val="28"/>
          <w:szCs w:val="28"/>
        </w:rPr>
        <w:t>哈萨克斯坦国家石油天然气公司</w:t>
      </w:r>
      <w:r>
        <w:rPr>
          <w:rFonts w:ascii="Times New Roman" w:eastAsia="仿宋" w:hAnsi="Times New Roman" w:hint="eastAsia"/>
          <w:color w:val="000000" w:themeColor="text1"/>
          <w:sz w:val="28"/>
          <w:szCs w:val="28"/>
        </w:rPr>
        <w:t>、俄罗斯国家石油公司、俄罗斯天然气工业公司、安特罗资源、</w:t>
      </w:r>
      <w:proofErr w:type="spellStart"/>
      <w:r>
        <w:rPr>
          <w:rFonts w:ascii="Times New Roman" w:eastAsia="仿宋" w:hAnsi="Times New Roman" w:hint="eastAsia"/>
          <w:color w:val="000000" w:themeColor="text1"/>
          <w:sz w:val="28"/>
          <w:szCs w:val="28"/>
        </w:rPr>
        <w:t>Ovintiv</w:t>
      </w:r>
      <w:proofErr w:type="spellEnd"/>
      <w:r>
        <w:rPr>
          <w:rFonts w:ascii="Times New Roman" w:eastAsia="仿宋" w:hAnsi="Times New Roman" w:hint="eastAsia"/>
          <w:color w:val="000000" w:themeColor="text1"/>
          <w:sz w:val="28"/>
          <w:szCs w:val="28"/>
        </w:rPr>
        <w:t>和</w:t>
      </w:r>
      <w:r>
        <w:rPr>
          <w:rFonts w:ascii="Times New Roman" w:eastAsia="仿宋" w:hAnsi="Times New Roman" w:hint="eastAsia"/>
          <w:color w:val="000000" w:themeColor="text1"/>
          <w:sz w:val="28"/>
          <w:szCs w:val="28"/>
        </w:rPr>
        <w:t>Range</w:t>
      </w:r>
      <w:r>
        <w:rPr>
          <w:rFonts w:ascii="Times New Roman" w:eastAsia="仿宋" w:hAnsi="Times New Roman" w:hint="eastAsia"/>
          <w:color w:val="000000" w:themeColor="text1"/>
          <w:sz w:val="28"/>
          <w:szCs w:val="28"/>
        </w:rPr>
        <w:t>资源共</w:t>
      </w:r>
      <w:r>
        <w:rPr>
          <w:rFonts w:ascii="Times New Roman" w:eastAsia="仿宋" w:hAnsi="Times New Roman" w:hint="eastAsia"/>
          <w:color w:val="000000" w:themeColor="text1"/>
          <w:sz w:val="28"/>
          <w:szCs w:val="28"/>
        </w:rPr>
        <w:t>9</w:t>
      </w:r>
      <w:r>
        <w:rPr>
          <w:rFonts w:ascii="Times New Roman" w:eastAsia="仿宋" w:hAnsi="Times New Roman" w:hint="eastAsia"/>
          <w:color w:val="000000" w:themeColor="text1"/>
          <w:sz w:val="28"/>
          <w:szCs w:val="28"/>
        </w:rPr>
        <w:t>家公司，总体的态度呈现较为积极，成效维度颇具亮点，但在行动上整体分数较低。虽然相关企业能够在文本中强调能效、环境管理与低碳发展等愿景，但整体的协会组织参与、目标覆盖与低碳投入上相对有限。</w:t>
      </w:r>
    </w:p>
    <w:p w14:paraId="71C2B63F" w14:textId="77777777" w:rsidR="00DF1225" w:rsidRDefault="00000000">
      <w:pPr>
        <w:spacing w:line="360" w:lineRule="auto"/>
        <w:ind w:firstLineChars="200" w:firstLine="560"/>
        <w:rPr>
          <w:rFonts w:ascii="Times New Roman" w:eastAsia="仿宋" w:hAnsi="Times New Roman"/>
          <w:color w:val="000000" w:themeColor="text1"/>
          <w:sz w:val="28"/>
          <w:szCs w:val="28"/>
        </w:rPr>
      </w:pPr>
      <w:r>
        <w:rPr>
          <w:rFonts w:ascii="Times New Roman" w:eastAsia="仿宋" w:hAnsi="Times New Roman" w:hint="eastAsia"/>
          <w:color w:val="000000" w:themeColor="text1"/>
          <w:sz w:val="28"/>
          <w:szCs w:val="28"/>
        </w:rPr>
        <w:t>此类企业的业务仍高度集中于油气生产与天然气供应，转型的措施主要服务于现有资产效率的提升与排放上的控制。其成效优势多来自油气资产本身的排放条件、生产效率和年度的运营情况，而非由于企业业务组合的改变。俄罗斯的企业主要围绕传统尤其和天然气系统现代化改造，亚洲国家石油公司则更多围绕集团油气规模扩展开展新业务以维持能源供应，北美独立上游公司则将减排与资本投入聚焦在生产现场。三类企业共同表现出运营减排强于业务转型的特点，未能在具体的举措上形成多维</w:t>
      </w:r>
      <w:proofErr w:type="gramStart"/>
      <w:r>
        <w:rPr>
          <w:rFonts w:ascii="Times New Roman" w:eastAsia="仿宋" w:hAnsi="Times New Roman" w:hint="eastAsia"/>
          <w:color w:val="000000" w:themeColor="text1"/>
          <w:sz w:val="28"/>
          <w:szCs w:val="28"/>
        </w:rPr>
        <w:t>度广泛</w:t>
      </w:r>
      <w:proofErr w:type="gramEnd"/>
      <w:r>
        <w:rPr>
          <w:rFonts w:ascii="Times New Roman" w:eastAsia="仿宋" w:hAnsi="Times New Roman" w:hint="eastAsia"/>
          <w:color w:val="000000" w:themeColor="text1"/>
          <w:sz w:val="28"/>
          <w:szCs w:val="28"/>
        </w:rPr>
        <w:t>的优势，其转型的理念更多呈现在改进传统业务方面，展现了先改善运营后扩展低碳业务的换进路径。</w:t>
      </w:r>
    </w:p>
    <w:p w14:paraId="55D687F8" w14:textId="77777777" w:rsidR="00DF1225" w:rsidRDefault="00000000">
      <w:pPr>
        <w:spacing w:line="360" w:lineRule="auto"/>
        <w:ind w:firstLineChars="200" w:firstLine="560"/>
        <w:rPr>
          <w:rFonts w:ascii="Times New Roman" w:eastAsia="仿宋" w:hAnsi="Times New Roman"/>
          <w:color w:val="000000" w:themeColor="text1"/>
          <w:sz w:val="28"/>
          <w:szCs w:val="28"/>
        </w:rPr>
      </w:pPr>
      <w:r>
        <w:rPr>
          <w:rFonts w:ascii="Times New Roman" w:eastAsia="仿宋" w:hAnsi="Times New Roman" w:hint="eastAsia"/>
          <w:color w:val="000000" w:themeColor="text1"/>
          <w:sz w:val="28"/>
          <w:szCs w:val="28"/>
        </w:rPr>
        <w:t>综合根据企业转型的三维评分刻画的企业转型画像来看，企业转型的具体路径与特点受到企业业务结构直接影响，具体而言，业务结构会影响哪些业务和领域最先进行低碳转型实践，传统资产对低碳成效形成多大约束以及企业的转型体现在新业务的发展还是现有业务运营的减排。当前，油气公司已普遍具备转型的态度和实际行动，但</w:t>
      </w:r>
      <w:r>
        <w:rPr>
          <w:rFonts w:ascii="Times New Roman" w:eastAsia="仿宋" w:hAnsi="Times New Roman" w:hint="eastAsia"/>
          <w:color w:val="000000" w:themeColor="text1"/>
          <w:sz w:val="28"/>
          <w:szCs w:val="28"/>
        </w:rPr>
        <w:lastRenderedPageBreak/>
        <w:t>企业之间的转型差异仍较为明显低存在，四类转型画像解释了企业在转型认知、配置与成效之间形成的不同组合。</w:t>
      </w:r>
    </w:p>
    <w:p w14:paraId="222B2351" w14:textId="77777777" w:rsidR="00DF1225" w:rsidRDefault="00000000">
      <w:pPr>
        <w:spacing w:line="360" w:lineRule="auto"/>
        <w:ind w:firstLineChars="200" w:firstLine="560"/>
        <w:rPr>
          <w:rFonts w:ascii="Times New Roman" w:eastAsia="仿宋" w:hAnsi="Times New Roman"/>
          <w:color w:val="000000" w:themeColor="text1"/>
          <w:sz w:val="28"/>
          <w:szCs w:val="28"/>
        </w:rPr>
      </w:pPr>
      <w:r>
        <w:rPr>
          <w:rFonts w:ascii="Times New Roman" w:eastAsia="仿宋" w:hAnsi="Times New Roman" w:hint="eastAsia"/>
          <w:color w:val="000000" w:themeColor="text1"/>
          <w:sz w:val="28"/>
          <w:szCs w:val="28"/>
        </w:rPr>
        <w:t>在全球能源转型的大趋势下，低碳发展已成为石油企业实现可持续发展的必然选择。本报告通过构建“言、行、果”三位一体的评估体系，对</w:t>
      </w:r>
      <w:r>
        <w:rPr>
          <w:rFonts w:ascii="Times New Roman" w:eastAsia="仿宋" w:hAnsi="Times New Roman" w:hint="eastAsia"/>
          <w:color w:val="000000" w:themeColor="text1"/>
          <w:sz w:val="28"/>
          <w:szCs w:val="28"/>
        </w:rPr>
        <w:t>27</w:t>
      </w:r>
      <w:r>
        <w:rPr>
          <w:rFonts w:ascii="Times New Roman" w:eastAsia="仿宋" w:hAnsi="Times New Roman" w:hint="eastAsia"/>
          <w:color w:val="000000" w:themeColor="text1"/>
          <w:sz w:val="28"/>
          <w:szCs w:val="28"/>
        </w:rPr>
        <w:t>家国际领先石油公司的转型表现进行了全面分析，旨在为行业甄选出转型典范。结果显示，行业转型并不存在单一模式，而是呈现出务实见效、择路渐进、布局承压和提效缓进四种结构：部分企业已将持续的资源配置转化为可验证的减排成效，部分企业依托自身优势选择重点的转型发展方向，也有企业面临投入布局尚未充分转化为集团成果与运营上的减</w:t>
      </w:r>
      <w:proofErr w:type="gramStart"/>
      <w:r>
        <w:rPr>
          <w:rFonts w:ascii="Times New Roman" w:eastAsia="仿宋" w:hAnsi="Times New Roman" w:hint="eastAsia"/>
          <w:color w:val="000000" w:themeColor="text1"/>
          <w:sz w:val="28"/>
          <w:szCs w:val="28"/>
        </w:rPr>
        <w:t>排未能</w:t>
      </w:r>
      <w:proofErr w:type="gramEnd"/>
      <w:r>
        <w:rPr>
          <w:rFonts w:ascii="Times New Roman" w:eastAsia="仿宋" w:hAnsi="Times New Roman" w:hint="eastAsia"/>
          <w:color w:val="000000" w:themeColor="text1"/>
          <w:sz w:val="28"/>
          <w:szCs w:val="28"/>
        </w:rPr>
        <w:t>转化为系统转型的问题。由此可见，企业转型水平并不取决于宣示强度或项目数量本身，关键在于能否将转型认知、资本与组织行动和实际运营成果连接为稳定闭环。</w:t>
      </w:r>
    </w:p>
    <w:p w14:paraId="6BF69551" w14:textId="77777777" w:rsidR="00DF1225" w:rsidRDefault="00000000">
      <w:pPr>
        <w:spacing w:line="360" w:lineRule="auto"/>
        <w:ind w:firstLineChars="200" w:firstLine="560"/>
        <w:rPr>
          <w:rFonts w:ascii="Times New Roman" w:eastAsia="仿宋" w:hAnsi="Times New Roman"/>
          <w:color w:val="000000" w:themeColor="text1"/>
          <w:sz w:val="28"/>
          <w:szCs w:val="28"/>
        </w:rPr>
      </w:pPr>
      <w:r>
        <w:rPr>
          <w:rFonts w:ascii="Times New Roman" w:eastAsia="仿宋" w:hAnsi="Times New Roman" w:hint="eastAsia"/>
          <w:color w:val="000000" w:themeColor="text1"/>
          <w:sz w:val="28"/>
          <w:szCs w:val="28"/>
        </w:rPr>
        <w:t>面向未来，不同类型企业要</w:t>
      </w:r>
      <w:proofErr w:type="gramStart"/>
      <w:r>
        <w:rPr>
          <w:rFonts w:ascii="Times New Roman" w:eastAsia="仿宋" w:hAnsi="Times New Roman" w:hint="eastAsia"/>
          <w:color w:val="000000" w:themeColor="text1"/>
          <w:sz w:val="28"/>
          <w:szCs w:val="28"/>
        </w:rPr>
        <w:t>沿符合</w:t>
      </w:r>
      <w:proofErr w:type="gramEnd"/>
      <w:r>
        <w:rPr>
          <w:rFonts w:ascii="Times New Roman" w:eastAsia="仿宋" w:hAnsi="Times New Roman" w:hint="eastAsia"/>
          <w:color w:val="000000" w:themeColor="text1"/>
          <w:sz w:val="28"/>
          <w:szCs w:val="28"/>
        </w:rPr>
        <w:t>自身条件的路径稳步推进，而无论采取何种路径，持续降排放，将低碳投入转化为可持续经验的业务能力并维持转型成果可验证，都是实现稳健转型的共同基础。期望本报告所呈现的企业实践与结构差异，能够为全球油气行业识别自身位置、完善转型策略提供参考，推动更多企业在复杂多变的能源格局中实现更具韧性和实效的低碳发展，激励更多企业在这场深刻的能源变革中找准方向、坚定步伐，共同迈向可持续的能源未来。</w:t>
      </w:r>
    </w:p>
    <w:p w14:paraId="6DCB3BC9" w14:textId="77777777" w:rsidR="00DF1225" w:rsidRDefault="00DF1225">
      <w:pPr>
        <w:rPr>
          <w:rFonts w:ascii="Times New Roman" w:eastAsia="仿宋" w:hAnsi="Times New Roman"/>
          <w:b/>
          <w:sz w:val="40"/>
          <w:szCs w:val="24"/>
        </w:rPr>
        <w:sectPr w:rsidR="00DF1225">
          <w:footerReference w:type="default" r:id="rId13"/>
          <w:pgSz w:w="11906" w:h="16838"/>
          <w:pgMar w:top="1440" w:right="1800" w:bottom="1440" w:left="1800" w:header="851" w:footer="992" w:gutter="0"/>
          <w:pgNumType w:start="1"/>
          <w:cols w:space="425"/>
          <w:docGrid w:type="lines" w:linePitch="312"/>
        </w:sectPr>
      </w:pPr>
    </w:p>
    <w:bookmarkEnd w:id="2"/>
    <w:p w14:paraId="28C1757F" w14:textId="77777777" w:rsidR="00DF1225" w:rsidRDefault="00000000">
      <w:pPr>
        <w:spacing w:afterLines="100" w:after="312"/>
        <w:jc w:val="center"/>
        <w:rPr>
          <w:rFonts w:ascii="Times New Roman" w:eastAsia="仿宋" w:hAnsi="Times New Roman"/>
          <w:b/>
          <w:sz w:val="40"/>
          <w:szCs w:val="40"/>
        </w:rPr>
      </w:pPr>
      <w:r>
        <w:rPr>
          <w:rFonts w:ascii="Times New Roman" w:eastAsia="仿宋" w:hAnsi="Times New Roman" w:hint="eastAsia"/>
          <w:b/>
          <w:sz w:val="40"/>
          <w:szCs w:val="40"/>
        </w:rPr>
        <w:lastRenderedPageBreak/>
        <w:t>关于作者</w:t>
      </w:r>
    </w:p>
    <w:p w14:paraId="20C55D22" w14:textId="77777777" w:rsidR="00DF1225" w:rsidRDefault="00000000">
      <w:pPr>
        <w:spacing w:line="360" w:lineRule="auto"/>
        <w:rPr>
          <w:rFonts w:ascii="Times New Roman" w:eastAsia="仿宋" w:hAnsi="Times New Roman"/>
          <w:b/>
          <w:sz w:val="28"/>
          <w:szCs w:val="28"/>
        </w:rPr>
      </w:pPr>
      <w:r>
        <w:rPr>
          <w:rFonts w:ascii="Times New Roman" w:eastAsia="仿宋" w:hAnsi="Times New Roman" w:hint="eastAsia"/>
          <w:b/>
          <w:sz w:val="28"/>
          <w:szCs w:val="28"/>
        </w:rPr>
        <w:t>系列</w:t>
      </w:r>
      <w:proofErr w:type="gramStart"/>
      <w:r>
        <w:rPr>
          <w:rFonts w:ascii="Times New Roman" w:eastAsia="仿宋" w:hAnsi="Times New Roman" w:hint="eastAsia"/>
          <w:b/>
          <w:sz w:val="28"/>
          <w:szCs w:val="28"/>
        </w:rPr>
        <w:t>报告总</w:t>
      </w:r>
      <w:proofErr w:type="gramEnd"/>
      <w:r>
        <w:rPr>
          <w:rFonts w:ascii="Times New Roman" w:eastAsia="仿宋" w:hAnsi="Times New Roman" w:hint="eastAsia"/>
          <w:b/>
          <w:sz w:val="28"/>
          <w:szCs w:val="28"/>
        </w:rPr>
        <w:t>协调人：王建良</w:t>
      </w:r>
    </w:p>
    <w:p w14:paraId="4E92AC94" w14:textId="77777777" w:rsidR="00DF1225" w:rsidRDefault="00DF1225">
      <w:pPr>
        <w:spacing w:line="360" w:lineRule="auto"/>
        <w:rPr>
          <w:rFonts w:ascii="Times New Roman" w:eastAsia="仿宋" w:hAnsi="Times New Roman"/>
          <w:b/>
          <w:sz w:val="24"/>
          <w:szCs w:val="24"/>
        </w:rPr>
      </w:pPr>
    </w:p>
    <w:p w14:paraId="6BF391B0" w14:textId="77777777" w:rsidR="00DF1225" w:rsidRDefault="00DF1225">
      <w:pPr>
        <w:spacing w:line="360" w:lineRule="auto"/>
        <w:rPr>
          <w:rFonts w:ascii="Times New Roman" w:eastAsia="仿宋" w:hAnsi="Times New Roman"/>
          <w:b/>
          <w:sz w:val="24"/>
          <w:szCs w:val="24"/>
        </w:rPr>
      </w:pPr>
    </w:p>
    <w:p w14:paraId="6EC285B5" w14:textId="77777777" w:rsidR="001B2D69" w:rsidRDefault="001B2D69" w:rsidP="001B2D69">
      <w:pPr>
        <w:spacing w:line="360" w:lineRule="auto"/>
        <w:rPr>
          <w:rFonts w:ascii="Times New Roman" w:eastAsia="仿宋" w:hAnsi="Times New Roman"/>
          <w:b/>
          <w:sz w:val="24"/>
          <w:szCs w:val="24"/>
        </w:rPr>
      </w:pPr>
      <w:r>
        <w:rPr>
          <w:rFonts w:ascii="Times New Roman" w:eastAsia="仿宋" w:hAnsi="Times New Roman" w:hint="eastAsia"/>
          <w:b/>
          <w:sz w:val="24"/>
          <w:szCs w:val="24"/>
        </w:rPr>
        <w:t>本报告主笔人：</w:t>
      </w:r>
    </w:p>
    <w:p w14:paraId="37905143" w14:textId="77777777" w:rsidR="001B2D69" w:rsidRDefault="001B2D69" w:rsidP="001B2D69">
      <w:pPr>
        <w:adjustRightInd w:val="0"/>
        <w:snapToGrid w:val="0"/>
        <w:spacing w:beforeLines="50" w:before="156" w:afterLines="50" w:after="156" w:line="360" w:lineRule="auto"/>
        <w:rPr>
          <w:rFonts w:ascii="Times New Roman" w:eastAsia="仿宋" w:hAnsi="Times New Roman"/>
          <w:sz w:val="24"/>
          <w:szCs w:val="24"/>
        </w:rPr>
      </w:pPr>
      <w:r>
        <w:rPr>
          <w:rFonts w:ascii="Times New Roman" w:eastAsia="仿宋" w:hAnsi="Times New Roman" w:hint="eastAsia"/>
          <w:noProof/>
          <w:sz w:val="24"/>
          <w:szCs w:val="24"/>
        </w:rPr>
        <w:drawing>
          <wp:anchor distT="0" distB="0" distL="114300" distR="114300" simplePos="0" relativeHeight="251663360" behindDoc="0" locked="0" layoutInCell="1" allowOverlap="1" wp14:anchorId="6715529D" wp14:editId="380F3CB5">
            <wp:simplePos x="0" y="0"/>
            <wp:positionH relativeFrom="margin">
              <wp:align>left</wp:align>
            </wp:positionH>
            <wp:positionV relativeFrom="paragraph">
              <wp:posOffset>103505</wp:posOffset>
            </wp:positionV>
            <wp:extent cx="763270" cy="1109980"/>
            <wp:effectExtent l="0" t="0" r="0" b="0"/>
            <wp:wrapSquare wrapText="bothSides"/>
            <wp:docPr id="20" name="图片 17" descr="https://www.cup.edu.cn/sba/images/content/2019-06/09121ecdf8334656af16e790bcbcd7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7" descr="https://www.cup.edu.cn/sba/images/content/2019-06/09121ecdf8334656af16e790bcbcd7c1.jpg"/>
                    <pic:cNvPicPr>
                      <a:picLocks noChangeAspect="1" noChangeArrowheads="1"/>
                    </pic:cNvPicPr>
                  </pic:nvPicPr>
                  <pic:blipFill>
                    <a:blip r:embed="rId14"/>
                    <a:srcRect/>
                    <a:stretch>
                      <a:fillRect/>
                    </a:stretch>
                  </pic:blipFill>
                  <pic:spPr>
                    <a:xfrm>
                      <a:off x="0" y="0"/>
                      <a:ext cx="763270" cy="1109980"/>
                    </a:xfrm>
                    <a:prstGeom prst="rect">
                      <a:avLst/>
                    </a:prstGeom>
                    <a:noFill/>
                    <a:ln>
                      <a:noFill/>
                    </a:ln>
                  </pic:spPr>
                </pic:pic>
              </a:graphicData>
            </a:graphic>
          </wp:anchor>
        </w:drawing>
      </w:r>
      <w:bookmarkStart w:id="5" w:name="_Hlk149075886"/>
      <w:r>
        <w:rPr>
          <w:rFonts w:ascii="Times New Roman" w:eastAsia="仿宋" w:hAnsi="Times New Roman" w:hint="eastAsia"/>
          <w:sz w:val="24"/>
          <w:szCs w:val="24"/>
        </w:rPr>
        <w:t>王建良，中国石油大学</w:t>
      </w:r>
      <w:r>
        <w:rPr>
          <w:rFonts w:ascii="Times New Roman" w:eastAsia="仿宋" w:hAnsi="Times New Roman" w:hint="eastAsia"/>
          <w:sz w:val="24"/>
          <w:szCs w:val="24"/>
        </w:rPr>
        <w:t>(</w:t>
      </w:r>
      <w:r>
        <w:rPr>
          <w:rFonts w:ascii="Times New Roman" w:eastAsia="仿宋" w:hAnsi="Times New Roman" w:hint="eastAsia"/>
          <w:sz w:val="24"/>
          <w:szCs w:val="24"/>
        </w:rPr>
        <w:t>北京</w:t>
      </w:r>
      <w:r>
        <w:rPr>
          <w:rFonts w:ascii="Times New Roman" w:eastAsia="仿宋" w:hAnsi="Times New Roman" w:hint="eastAsia"/>
          <w:sz w:val="24"/>
          <w:szCs w:val="24"/>
        </w:rPr>
        <w:t>)</w:t>
      </w:r>
      <w:r>
        <w:rPr>
          <w:rFonts w:ascii="Times New Roman" w:eastAsia="仿宋" w:hAnsi="Times New Roman" w:hint="eastAsia"/>
          <w:sz w:val="24"/>
          <w:szCs w:val="24"/>
        </w:rPr>
        <w:t>教授，博导，经济管理学院院长，校青年拔尖人才。主要研究领域为油气系统工程、能源经济管理。以第一作者或通讯作者在</w:t>
      </w:r>
      <w:r>
        <w:rPr>
          <w:rFonts w:ascii="Times New Roman" w:eastAsia="仿宋" w:hAnsi="Times New Roman" w:hint="eastAsia"/>
          <w:sz w:val="24"/>
          <w:szCs w:val="24"/>
        </w:rPr>
        <w:t>SCI/SSCI/EI/CSCD</w:t>
      </w:r>
      <w:r>
        <w:rPr>
          <w:rFonts w:ascii="Times New Roman" w:eastAsia="仿宋" w:hAnsi="Times New Roman" w:hint="eastAsia"/>
          <w:sz w:val="24"/>
          <w:szCs w:val="24"/>
        </w:rPr>
        <w:t>等期刊发表文章</w:t>
      </w:r>
      <w:r>
        <w:rPr>
          <w:rFonts w:ascii="Times New Roman" w:eastAsia="仿宋" w:hAnsi="Times New Roman" w:hint="eastAsia"/>
          <w:sz w:val="24"/>
          <w:szCs w:val="24"/>
        </w:rPr>
        <w:t>50</w:t>
      </w:r>
      <w:r>
        <w:rPr>
          <w:rFonts w:ascii="Times New Roman" w:eastAsia="仿宋" w:hAnsi="Times New Roman" w:hint="eastAsia"/>
          <w:sz w:val="24"/>
          <w:szCs w:val="24"/>
        </w:rPr>
        <w:t>余篇</w:t>
      </w:r>
      <w:r>
        <w:rPr>
          <w:rFonts w:ascii="Times New Roman" w:eastAsia="仿宋" w:hAnsi="Times New Roman" w:hint="eastAsia"/>
          <w:sz w:val="24"/>
          <w:szCs w:val="24"/>
        </w:rPr>
        <w:t>,</w:t>
      </w:r>
      <w:r>
        <w:rPr>
          <w:rFonts w:ascii="Times New Roman" w:eastAsia="仿宋" w:hAnsi="Times New Roman" w:hint="eastAsia"/>
          <w:sz w:val="24"/>
          <w:szCs w:val="24"/>
        </w:rPr>
        <w:t>多篇文章入选</w:t>
      </w:r>
      <w:r>
        <w:rPr>
          <w:rFonts w:ascii="Times New Roman" w:eastAsia="仿宋" w:hAnsi="Times New Roman" w:hint="eastAsia"/>
          <w:sz w:val="24"/>
          <w:szCs w:val="24"/>
        </w:rPr>
        <w:t>ESI</w:t>
      </w:r>
      <w:r>
        <w:rPr>
          <w:rFonts w:ascii="Times New Roman" w:eastAsia="仿宋" w:hAnsi="Times New Roman" w:hint="eastAsia"/>
          <w:sz w:val="24"/>
          <w:szCs w:val="24"/>
        </w:rPr>
        <w:t>全球高被引文章、中国石油科学十佳论文提名奖、《天然气工业》期刊高被引论文、领跑者</w:t>
      </w:r>
      <w:r>
        <w:rPr>
          <w:rFonts w:ascii="Times New Roman" w:eastAsia="仿宋" w:hAnsi="Times New Roman" w:hint="eastAsia"/>
          <w:sz w:val="24"/>
          <w:szCs w:val="24"/>
        </w:rPr>
        <w:t>5000</w:t>
      </w:r>
      <w:r>
        <w:rPr>
          <w:rFonts w:ascii="Times New Roman" w:eastAsia="仿宋" w:hAnsi="Times New Roman" w:hint="eastAsia"/>
          <w:sz w:val="24"/>
          <w:szCs w:val="24"/>
        </w:rPr>
        <w:t>论文等。出版中英文著作</w:t>
      </w:r>
      <w:r>
        <w:rPr>
          <w:rFonts w:ascii="Times New Roman" w:eastAsia="仿宋" w:hAnsi="Times New Roman" w:hint="eastAsia"/>
          <w:sz w:val="24"/>
          <w:szCs w:val="24"/>
        </w:rPr>
        <w:t>6</w:t>
      </w:r>
      <w:r>
        <w:rPr>
          <w:rFonts w:ascii="Times New Roman" w:eastAsia="仿宋" w:hAnsi="Times New Roman" w:hint="eastAsia"/>
          <w:sz w:val="24"/>
          <w:szCs w:val="24"/>
        </w:rPr>
        <w:t>部，教材</w:t>
      </w:r>
      <w:r>
        <w:rPr>
          <w:rFonts w:ascii="Times New Roman" w:eastAsia="仿宋" w:hAnsi="Times New Roman" w:hint="eastAsia"/>
          <w:sz w:val="24"/>
          <w:szCs w:val="24"/>
        </w:rPr>
        <w:t>2</w:t>
      </w:r>
      <w:r>
        <w:rPr>
          <w:rFonts w:ascii="Times New Roman" w:eastAsia="仿宋" w:hAnsi="Times New Roman" w:hint="eastAsia"/>
          <w:sz w:val="24"/>
          <w:szCs w:val="24"/>
        </w:rPr>
        <w:t>部。先后承担国家自然科学基金项目等多个省部级以上项目。教学科研成果获省部级奖</w:t>
      </w:r>
      <w:r>
        <w:rPr>
          <w:rFonts w:ascii="Times New Roman" w:eastAsia="仿宋" w:hAnsi="Times New Roman" w:hint="eastAsia"/>
          <w:sz w:val="24"/>
          <w:szCs w:val="24"/>
        </w:rPr>
        <w:t>2</w:t>
      </w:r>
      <w:r>
        <w:rPr>
          <w:rFonts w:ascii="Times New Roman" w:eastAsia="仿宋" w:hAnsi="Times New Roman" w:hint="eastAsia"/>
          <w:sz w:val="24"/>
          <w:szCs w:val="24"/>
        </w:rPr>
        <w:t>项</w:t>
      </w:r>
      <w:r>
        <w:rPr>
          <w:rFonts w:ascii="Times New Roman" w:eastAsia="仿宋" w:hAnsi="Times New Roman" w:hint="eastAsia"/>
          <w:sz w:val="24"/>
          <w:szCs w:val="24"/>
        </w:rPr>
        <w:t>,</w:t>
      </w:r>
      <w:r>
        <w:rPr>
          <w:rFonts w:ascii="Times New Roman" w:eastAsia="仿宋" w:hAnsi="Times New Roman" w:hint="eastAsia"/>
          <w:sz w:val="24"/>
          <w:szCs w:val="24"/>
        </w:rPr>
        <w:t>主编教材全部入选北京高校“优质本科教材课件”等。</w:t>
      </w:r>
      <w:bookmarkEnd w:id="5"/>
    </w:p>
    <w:p w14:paraId="368A4F62" w14:textId="77777777" w:rsidR="001B2D69" w:rsidRDefault="001B2D69" w:rsidP="001B2D69">
      <w:pPr>
        <w:adjustRightInd w:val="0"/>
        <w:snapToGrid w:val="0"/>
        <w:spacing w:beforeLines="50" w:before="156" w:afterLines="50" w:after="156" w:line="360" w:lineRule="auto"/>
        <w:rPr>
          <w:rFonts w:ascii="Times New Roman" w:eastAsia="仿宋" w:hAnsi="Times New Roman"/>
          <w:b/>
          <w:bCs/>
          <w:sz w:val="28"/>
          <w:szCs w:val="28"/>
        </w:rPr>
      </w:pPr>
    </w:p>
    <w:p w14:paraId="7314267C" w14:textId="77777777" w:rsidR="001B2D69" w:rsidRDefault="001B2D69" w:rsidP="001B2D69">
      <w:pPr>
        <w:spacing w:line="360" w:lineRule="auto"/>
        <w:rPr>
          <w:rFonts w:ascii="Times New Roman" w:eastAsia="仿宋" w:hAnsi="Times New Roman"/>
          <w:sz w:val="24"/>
          <w:szCs w:val="24"/>
        </w:rPr>
      </w:pPr>
      <w:r>
        <w:rPr>
          <w:rFonts w:ascii="Times New Roman" w:eastAsia="仿宋" w:hAnsi="Times New Roman" w:hint="eastAsia"/>
          <w:noProof/>
          <w:sz w:val="24"/>
          <w:szCs w:val="24"/>
        </w:rPr>
        <w:drawing>
          <wp:anchor distT="0" distB="0" distL="114300" distR="114300" simplePos="0" relativeHeight="251662336" behindDoc="0" locked="0" layoutInCell="1" allowOverlap="1" wp14:anchorId="3B98C645" wp14:editId="6EFB08B9">
            <wp:simplePos x="0" y="0"/>
            <wp:positionH relativeFrom="margin">
              <wp:posOffset>36830</wp:posOffset>
            </wp:positionH>
            <wp:positionV relativeFrom="paragraph">
              <wp:posOffset>40640</wp:posOffset>
            </wp:positionV>
            <wp:extent cx="767080" cy="1113155"/>
            <wp:effectExtent l="0" t="0" r="0" b="5080"/>
            <wp:wrapSquare wrapText="bothSides"/>
            <wp:docPr id="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a:blip r:embed="rId15" cstate="print"/>
                    <a:stretch>
                      <a:fillRect/>
                    </a:stretch>
                  </pic:blipFill>
                  <pic:spPr>
                    <a:xfrm>
                      <a:off x="0" y="0"/>
                      <a:ext cx="766800" cy="1112911"/>
                    </a:xfrm>
                    <a:prstGeom prst="rect">
                      <a:avLst/>
                    </a:prstGeom>
                  </pic:spPr>
                </pic:pic>
              </a:graphicData>
            </a:graphic>
          </wp:anchor>
        </w:drawing>
      </w:r>
      <w:r>
        <w:rPr>
          <w:rFonts w:ascii="Times New Roman" w:eastAsia="仿宋" w:hAnsi="Times New Roman" w:hint="eastAsia"/>
          <w:sz w:val="24"/>
          <w:szCs w:val="24"/>
        </w:rPr>
        <w:t>朴</w:t>
      </w:r>
      <w:proofErr w:type="gramStart"/>
      <w:r>
        <w:rPr>
          <w:rFonts w:ascii="Times New Roman" w:eastAsia="仿宋" w:hAnsi="Times New Roman" w:hint="eastAsia"/>
          <w:sz w:val="24"/>
          <w:szCs w:val="24"/>
        </w:rPr>
        <w:t>槿睿</w:t>
      </w:r>
      <w:proofErr w:type="gramEnd"/>
      <w:r>
        <w:rPr>
          <w:rFonts w:ascii="Times New Roman" w:eastAsia="仿宋" w:hAnsi="Times New Roman" w:hint="eastAsia"/>
          <w:sz w:val="24"/>
          <w:szCs w:val="24"/>
        </w:rPr>
        <w:t>，中国石油大学（北京）经济管理学院管理科学与工程专业硕士研究生在读，兴趣领域为能源政策分析、企业低碳转型舆情研究及战略决策支持。</w:t>
      </w:r>
    </w:p>
    <w:p w14:paraId="10C4CC36" w14:textId="77777777" w:rsidR="00DF1225" w:rsidRPr="001B2D69" w:rsidRDefault="00DF1225">
      <w:pPr>
        <w:adjustRightInd w:val="0"/>
        <w:snapToGrid w:val="0"/>
        <w:spacing w:beforeLines="50" w:before="156" w:afterLines="50" w:after="156" w:line="360" w:lineRule="auto"/>
        <w:rPr>
          <w:rFonts w:ascii="Times New Roman" w:eastAsia="仿宋" w:hAnsi="Times New Roman"/>
          <w:b/>
          <w:bCs/>
          <w:sz w:val="28"/>
          <w:szCs w:val="28"/>
        </w:rPr>
      </w:pPr>
    </w:p>
    <w:p w14:paraId="68DAEE5C" w14:textId="77777777" w:rsidR="00DF1225" w:rsidRDefault="00DF1225">
      <w:pPr>
        <w:adjustRightInd w:val="0"/>
        <w:snapToGrid w:val="0"/>
        <w:spacing w:beforeLines="50" w:before="156" w:afterLines="50" w:after="156" w:line="360" w:lineRule="auto"/>
        <w:rPr>
          <w:rFonts w:ascii="Times New Roman" w:eastAsia="仿宋" w:hAnsi="Times New Roman"/>
          <w:b/>
          <w:bCs/>
          <w:sz w:val="28"/>
          <w:szCs w:val="28"/>
        </w:rPr>
      </w:pPr>
    </w:p>
    <w:p w14:paraId="31F728D9" w14:textId="77777777" w:rsidR="00DF1225" w:rsidRDefault="00DF1225">
      <w:pPr>
        <w:adjustRightInd w:val="0"/>
        <w:snapToGrid w:val="0"/>
        <w:spacing w:beforeLines="50" w:before="156" w:afterLines="50" w:after="156" w:line="360" w:lineRule="auto"/>
        <w:rPr>
          <w:rFonts w:ascii="Times New Roman" w:eastAsia="仿宋" w:hAnsi="Times New Roman"/>
          <w:b/>
          <w:bCs/>
          <w:sz w:val="28"/>
          <w:szCs w:val="28"/>
        </w:rPr>
      </w:pPr>
    </w:p>
    <w:p w14:paraId="71E6D61C" w14:textId="77777777" w:rsidR="00DF1225" w:rsidRDefault="00DF1225">
      <w:pPr>
        <w:adjustRightInd w:val="0"/>
        <w:snapToGrid w:val="0"/>
        <w:spacing w:beforeLines="50" w:before="156" w:afterLines="50" w:after="156" w:line="360" w:lineRule="auto"/>
        <w:rPr>
          <w:rFonts w:ascii="Times New Roman" w:eastAsia="仿宋" w:hAnsi="Times New Roman"/>
          <w:b/>
          <w:bCs/>
          <w:sz w:val="28"/>
          <w:szCs w:val="28"/>
        </w:rPr>
      </w:pPr>
    </w:p>
    <w:p w14:paraId="3FB0E2BD" w14:textId="77777777" w:rsidR="00DF1225" w:rsidRDefault="00000000">
      <w:pPr>
        <w:adjustRightInd w:val="0"/>
        <w:snapToGrid w:val="0"/>
        <w:spacing w:beforeLines="50" w:before="156" w:afterLines="50" w:after="156" w:line="360" w:lineRule="auto"/>
        <w:rPr>
          <w:rFonts w:ascii="Times New Roman" w:eastAsia="仿宋" w:hAnsi="Times New Roman"/>
          <w:b/>
          <w:sz w:val="28"/>
          <w:szCs w:val="28"/>
        </w:rPr>
      </w:pPr>
      <w:r>
        <w:rPr>
          <w:rFonts w:ascii="Times New Roman" w:eastAsia="仿宋" w:hAnsi="Times New Roman" w:hint="eastAsia"/>
          <w:b/>
          <w:sz w:val="28"/>
          <w:szCs w:val="28"/>
        </w:rPr>
        <w:t>本报告校对人：</w:t>
      </w:r>
    </w:p>
    <w:p w14:paraId="7FF73C28" w14:textId="7875C0DC" w:rsidR="00DF1225" w:rsidRPr="001B2D69" w:rsidRDefault="00000000">
      <w:pPr>
        <w:adjustRightInd w:val="0"/>
        <w:snapToGrid w:val="0"/>
        <w:spacing w:line="360" w:lineRule="auto"/>
        <w:rPr>
          <w:rFonts w:ascii="Times New Roman" w:eastAsia="仿宋" w:hAnsi="Times New Roman"/>
          <w:bCs/>
          <w:sz w:val="28"/>
          <w:szCs w:val="28"/>
        </w:rPr>
      </w:pPr>
      <w:r>
        <w:rPr>
          <w:rFonts w:ascii="Times New Roman" w:eastAsia="仿宋" w:hAnsi="Times New Roman" w:hint="eastAsia"/>
          <w:b/>
          <w:sz w:val="28"/>
          <w:szCs w:val="28"/>
        </w:rPr>
        <w:t>报告引用：</w:t>
      </w:r>
      <w:r w:rsidRPr="001B2D69">
        <w:rPr>
          <w:rFonts w:ascii="Times New Roman" w:eastAsia="仿宋" w:hAnsi="Times New Roman" w:hint="eastAsia"/>
          <w:bCs/>
          <w:i/>
          <w:sz w:val="28"/>
          <w:szCs w:val="28"/>
        </w:rPr>
        <w:t>王建良、朴</w:t>
      </w:r>
      <w:proofErr w:type="gramStart"/>
      <w:r w:rsidRPr="001B2D69">
        <w:rPr>
          <w:rFonts w:ascii="Times New Roman" w:eastAsia="仿宋" w:hAnsi="Times New Roman" w:hint="eastAsia"/>
          <w:bCs/>
          <w:i/>
          <w:sz w:val="28"/>
          <w:szCs w:val="28"/>
        </w:rPr>
        <w:t>槿睿</w:t>
      </w:r>
      <w:proofErr w:type="gramEnd"/>
      <w:r w:rsidRPr="001B2D69">
        <w:rPr>
          <w:rFonts w:ascii="Times New Roman" w:eastAsia="仿宋" w:hAnsi="Times New Roman" w:hint="eastAsia"/>
          <w:bCs/>
          <w:i/>
          <w:sz w:val="28"/>
          <w:szCs w:val="28"/>
        </w:rPr>
        <w:t xml:space="preserve">. </w:t>
      </w:r>
      <w:r w:rsidRPr="001B2D69">
        <w:rPr>
          <w:rFonts w:ascii="Times New Roman" w:eastAsia="仿宋" w:hAnsi="Times New Roman" w:hint="eastAsia"/>
          <w:bCs/>
          <w:i/>
          <w:sz w:val="28"/>
          <w:szCs w:val="28"/>
        </w:rPr>
        <w:t>石油公司能源</w:t>
      </w:r>
      <w:proofErr w:type="gramStart"/>
      <w:r w:rsidRPr="001B2D69">
        <w:rPr>
          <w:rFonts w:ascii="Times New Roman" w:eastAsia="仿宋" w:hAnsi="Times New Roman" w:hint="eastAsia"/>
          <w:bCs/>
          <w:i/>
          <w:sz w:val="28"/>
          <w:szCs w:val="28"/>
        </w:rPr>
        <w:t>转型指数</w:t>
      </w:r>
      <w:proofErr w:type="gramEnd"/>
      <w:r w:rsidRPr="001B2D69">
        <w:rPr>
          <w:rFonts w:ascii="Times New Roman" w:eastAsia="仿宋" w:hAnsi="Times New Roman" w:hint="eastAsia"/>
          <w:bCs/>
          <w:i/>
          <w:sz w:val="28"/>
          <w:szCs w:val="28"/>
        </w:rPr>
        <w:t xml:space="preserve">[R]. </w:t>
      </w:r>
      <w:r w:rsidRPr="001B2D69">
        <w:rPr>
          <w:rFonts w:ascii="Times New Roman" w:eastAsia="仿宋" w:hAnsi="Times New Roman" w:hint="eastAsia"/>
          <w:bCs/>
          <w:i/>
          <w:sz w:val="28"/>
          <w:szCs w:val="28"/>
        </w:rPr>
        <w:t>中国石油大学（北京）碳中和与能源创新发展研究院</w:t>
      </w:r>
      <w:r w:rsidRPr="001B2D69">
        <w:rPr>
          <w:rFonts w:ascii="Times New Roman" w:eastAsia="仿宋" w:hAnsi="Times New Roman" w:hint="eastAsia"/>
          <w:bCs/>
          <w:i/>
          <w:sz w:val="28"/>
          <w:szCs w:val="28"/>
        </w:rPr>
        <w:t>, 2026I0</w:t>
      </w:r>
      <w:r w:rsidR="009107B8">
        <w:rPr>
          <w:rFonts w:ascii="Times New Roman" w:eastAsia="仿宋" w:hAnsi="Times New Roman" w:hint="eastAsia"/>
          <w:bCs/>
          <w:i/>
          <w:sz w:val="28"/>
          <w:szCs w:val="28"/>
        </w:rPr>
        <w:t>1</w:t>
      </w:r>
      <w:r w:rsidRPr="001B2D69">
        <w:rPr>
          <w:rFonts w:ascii="Times New Roman" w:eastAsia="仿宋" w:hAnsi="Times New Roman" w:hint="eastAsia"/>
          <w:bCs/>
          <w:i/>
          <w:sz w:val="28"/>
          <w:szCs w:val="28"/>
        </w:rPr>
        <w:t>, 2026</w:t>
      </w:r>
      <w:r w:rsidRPr="001B2D69">
        <w:rPr>
          <w:rFonts w:ascii="Times New Roman" w:eastAsia="仿宋" w:hAnsi="Times New Roman" w:hint="eastAsia"/>
          <w:bCs/>
          <w:i/>
          <w:sz w:val="28"/>
          <w:szCs w:val="28"/>
        </w:rPr>
        <w:t>年</w:t>
      </w:r>
      <w:r w:rsidRPr="001B2D69">
        <w:rPr>
          <w:rFonts w:ascii="Times New Roman" w:eastAsia="仿宋" w:hAnsi="Times New Roman" w:hint="eastAsia"/>
          <w:bCs/>
          <w:i/>
          <w:sz w:val="28"/>
          <w:szCs w:val="28"/>
        </w:rPr>
        <w:t>9</w:t>
      </w:r>
      <w:r w:rsidRPr="001B2D69">
        <w:rPr>
          <w:rFonts w:ascii="Times New Roman" w:eastAsia="仿宋" w:hAnsi="Times New Roman" w:hint="eastAsia"/>
          <w:bCs/>
          <w:i/>
          <w:sz w:val="28"/>
          <w:szCs w:val="28"/>
        </w:rPr>
        <w:t>月</w:t>
      </w:r>
      <w:r w:rsidRPr="001B2D69">
        <w:rPr>
          <w:rFonts w:ascii="Times New Roman" w:eastAsia="仿宋" w:hAnsi="Times New Roman" w:hint="eastAsia"/>
          <w:bCs/>
          <w:i/>
          <w:sz w:val="28"/>
          <w:szCs w:val="28"/>
        </w:rPr>
        <w:t>27</w:t>
      </w:r>
      <w:r w:rsidRPr="001B2D69">
        <w:rPr>
          <w:rFonts w:ascii="Times New Roman" w:eastAsia="仿宋" w:hAnsi="Times New Roman" w:hint="eastAsia"/>
          <w:bCs/>
          <w:i/>
          <w:sz w:val="28"/>
          <w:szCs w:val="28"/>
        </w:rPr>
        <w:t>日</w:t>
      </w:r>
      <w:r w:rsidRPr="001B2D69">
        <w:rPr>
          <w:rFonts w:ascii="Times New Roman" w:eastAsia="仿宋" w:hAnsi="Times New Roman" w:hint="eastAsia"/>
          <w:bCs/>
          <w:i/>
          <w:sz w:val="28"/>
          <w:szCs w:val="28"/>
        </w:rPr>
        <w:t>.</w:t>
      </w:r>
    </w:p>
    <w:p w14:paraId="4ACBC005" w14:textId="77777777" w:rsidR="00DF1225" w:rsidRDefault="00DF1225">
      <w:pPr>
        <w:rPr>
          <w:rFonts w:ascii="Times New Roman" w:eastAsia="仿宋" w:hAnsi="Times New Roman"/>
          <w:b/>
          <w:sz w:val="40"/>
          <w:szCs w:val="24"/>
        </w:rPr>
        <w:sectPr w:rsidR="00DF1225">
          <w:footerReference w:type="default" r:id="rId16"/>
          <w:pgSz w:w="11906" w:h="16838"/>
          <w:pgMar w:top="1440" w:right="1800" w:bottom="1440" w:left="1800" w:header="851" w:footer="992" w:gutter="0"/>
          <w:cols w:space="425"/>
          <w:docGrid w:type="lines" w:linePitch="312"/>
        </w:sectPr>
      </w:pPr>
    </w:p>
    <w:p w14:paraId="684F214F" w14:textId="77777777" w:rsidR="001B2D69" w:rsidRDefault="001B2D69" w:rsidP="001B2D69">
      <w:pPr>
        <w:rPr>
          <w:rFonts w:ascii="Times New Roman" w:eastAsia="仿宋" w:hAnsi="Times New Roman"/>
          <w:b/>
          <w:sz w:val="40"/>
          <w:szCs w:val="24"/>
        </w:rPr>
      </w:pPr>
    </w:p>
    <w:p w14:paraId="3EBDCFC8" w14:textId="77777777" w:rsidR="001B2D69" w:rsidRDefault="001B2D69" w:rsidP="001B2D69">
      <w:pPr>
        <w:rPr>
          <w:rFonts w:ascii="Times New Roman" w:eastAsia="仿宋" w:hAnsi="Times New Roman"/>
          <w:b/>
          <w:sz w:val="40"/>
          <w:szCs w:val="24"/>
        </w:rPr>
      </w:pPr>
    </w:p>
    <w:p w14:paraId="12D8FDB5" w14:textId="77777777" w:rsidR="001B2D69" w:rsidRDefault="001B2D69" w:rsidP="001B2D69">
      <w:pPr>
        <w:rPr>
          <w:rFonts w:ascii="Times New Roman" w:eastAsia="仿宋" w:hAnsi="Times New Roman"/>
          <w:b/>
          <w:sz w:val="40"/>
          <w:szCs w:val="24"/>
        </w:rPr>
      </w:pPr>
    </w:p>
    <w:p w14:paraId="2989B843" w14:textId="77777777" w:rsidR="001B2D69" w:rsidRDefault="001B2D69" w:rsidP="001B2D69">
      <w:pPr>
        <w:rPr>
          <w:rFonts w:ascii="Times New Roman" w:eastAsia="仿宋" w:hAnsi="Times New Roman"/>
          <w:b/>
          <w:sz w:val="40"/>
          <w:szCs w:val="24"/>
        </w:rPr>
      </w:pPr>
    </w:p>
    <w:p w14:paraId="236E9BF6" w14:textId="77777777" w:rsidR="001B2D69" w:rsidRDefault="001B2D69" w:rsidP="001B2D69">
      <w:pPr>
        <w:jc w:val="center"/>
        <w:rPr>
          <w:rFonts w:ascii="Times New Roman" w:eastAsia="仿宋" w:hAnsi="Times New Roman"/>
          <w:b/>
          <w:sz w:val="40"/>
          <w:szCs w:val="24"/>
        </w:rPr>
      </w:pPr>
      <w:r>
        <w:rPr>
          <w:rFonts w:ascii="Times New Roman" w:eastAsia="仿宋" w:hAnsi="Times New Roman" w:hint="eastAsia"/>
          <w:noProof/>
        </w:rPr>
        <w:drawing>
          <wp:inline distT="0" distB="0" distL="0" distR="0" wp14:anchorId="063AAC79" wp14:editId="13F7593A">
            <wp:extent cx="2303780" cy="741045"/>
            <wp:effectExtent l="0" t="0" r="1270" b="1905"/>
            <wp:docPr id="26" name="图片 4" descr="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 descr="文本&#10;&#10;AI 生成的内容可能不正确。"/>
                    <pic:cNvPicPr>
                      <a:picLocks noChangeAspect="1"/>
                    </pic:cNvPicPr>
                  </pic:nvPicPr>
                  <pic:blipFill>
                    <a:blip r:embed="rId17"/>
                    <a:stretch>
                      <a:fillRect/>
                    </a:stretch>
                  </pic:blipFill>
                  <pic:spPr>
                    <a:xfrm>
                      <a:off x="0" y="0"/>
                      <a:ext cx="2390156" cy="768901"/>
                    </a:xfrm>
                    <a:prstGeom prst="rect">
                      <a:avLst/>
                    </a:prstGeom>
                  </pic:spPr>
                </pic:pic>
              </a:graphicData>
            </a:graphic>
          </wp:inline>
        </w:drawing>
      </w:r>
    </w:p>
    <w:p w14:paraId="6561F9FE" w14:textId="77777777" w:rsidR="001B2D69" w:rsidRDefault="001B2D69" w:rsidP="001B2D69">
      <w:pPr>
        <w:rPr>
          <w:rFonts w:ascii="Times New Roman" w:eastAsia="仿宋" w:hAnsi="Times New Roman"/>
          <w:b/>
          <w:sz w:val="40"/>
          <w:szCs w:val="24"/>
        </w:rPr>
      </w:pPr>
    </w:p>
    <w:p w14:paraId="7AC06601" w14:textId="77777777" w:rsidR="001B2D69" w:rsidRDefault="001B2D69" w:rsidP="001B2D69">
      <w:pPr>
        <w:rPr>
          <w:rFonts w:ascii="Times New Roman" w:eastAsia="仿宋" w:hAnsi="Times New Roman"/>
          <w:b/>
          <w:sz w:val="40"/>
          <w:szCs w:val="24"/>
        </w:rPr>
      </w:pPr>
    </w:p>
    <w:p w14:paraId="4216214F" w14:textId="77777777" w:rsidR="001B2D69" w:rsidRDefault="001B2D69" w:rsidP="001B2D69">
      <w:pPr>
        <w:rPr>
          <w:rFonts w:ascii="Times New Roman" w:eastAsia="仿宋" w:hAnsi="Times New Roman"/>
          <w:b/>
          <w:sz w:val="40"/>
          <w:szCs w:val="24"/>
        </w:rPr>
      </w:pPr>
    </w:p>
    <w:p w14:paraId="6608B1BB" w14:textId="77777777" w:rsidR="001B2D69" w:rsidRDefault="001B2D69" w:rsidP="001B2D69">
      <w:pPr>
        <w:rPr>
          <w:rFonts w:ascii="Times New Roman" w:eastAsia="仿宋" w:hAnsi="Times New Roman"/>
          <w:b/>
          <w:sz w:val="40"/>
          <w:szCs w:val="24"/>
        </w:rPr>
      </w:pPr>
    </w:p>
    <w:p w14:paraId="7697518F" w14:textId="77777777" w:rsidR="001B2D69" w:rsidRDefault="001B2D69" w:rsidP="001B2D69">
      <w:pPr>
        <w:rPr>
          <w:rFonts w:ascii="Times New Roman" w:eastAsia="仿宋" w:hAnsi="Times New Roman"/>
          <w:b/>
          <w:sz w:val="40"/>
          <w:szCs w:val="24"/>
        </w:rPr>
      </w:pPr>
    </w:p>
    <w:p w14:paraId="2620DA1B" w14:textId="77777777" w:rsidR="001B2D69" w:rsidRDefault="001B2D69" w:rsidP="001B2D69">
      <w:pPr>
        <w:rPr>
          <w:rFonts w:ascii="Times New Roman" w:eastAsia="仿宋" w:hAnsi="Times New Roman"/>
          <w:b/>
          <w:sz w:val="40"/>
          <w:szCs w:val="24"/>
        </w:rPr>
      </w:pPr>
    </w:p>
    <w:p w14:paraId="555BFAB9" w14:textId="77777777" w:rsidR="001B2D69" w:rsidRDefault="001B2D69" w:rsidP="001B2D69">
      <w:pPr>
        <w:rPr>
          <w:rFonts w:ascii="Times New Roman" w:eastAsia="仿宋" w:hAnsi="Times New Roman"/>
          <w:b/>
          <w:sz w:val="40"/>
          <w:szCs w:val="24"/>
        </w:rPr>
      </w:pPr>
    </w:p>
    <w:p w14:paraId="44AE7EE5" w14:textId="77777777" w:rsidR="001B2D69" w:rsidRDefault="001B2D69" w:rsidP="001B2D69">
      <w:pPr>
        <w:rPr>
          <w:rFonts w:ascii="Times New Roman" w:eastAsia="仿宋" w:hAnsi="Times New Roman"/>
          <w:b/>
          <w:sz w:val="40"/>
          <w:szCs w:val="24"/>
        </w:rPr>
      </w:pPr>
    </w:p>
    <w:p w14:paraId="75470269" w14:textId="77777777" w:rsidR="001B2D69" w:rsidRDefault="001B2D69" w:rsidP="001B2D69">
      <w:pPr>
        <w:rPr>
          <w:rFonts w:ascii="Times New Roman" w:eastAsia="仿宋" w:hAnsi="Times New Roman"/>
          <w:b/>
          <w:sz w:val="40"/>
          <w:szCs w:val="24"/>
        </w:rPr>
      </w:pPr>
    </w:p>
    <w:p w14:paraId="40347393" w14:textId="77777777" w:rsidR="001B2D69" w:rsidRDefault="001B2D69" w:rsidP="001B2D69">
      <w:pPr>
        <w:rPr>
          <w:rFonts w:ascii="Times New Roman" w:eastAsia="仿宋" w:hAnsi="Times New Roman"/>
          <w:b/>
          <w:sz w:val="40"/>
          <w:szCs w:val="24"/>
        </w:rPr>
      </w:pPr>
    </w:p>
    <w:p w14:paraId="3742AAF1" w14:textId="77777777" w:rsidR="001B2D69" w:rsidRDefault="001B2D69" w:rsidP="001B2D69">
      <w:pPr>
        <w:rPr>
          <w:rFonts w:ascii="Times New Roman" w:eastAsia="仿宋" w:hAnsi="Times New Roman"/>
          <w:b/>
          <w:sz w:val="40"/>
          <w:szCs w:val="24"/>
        </w:rPr>
      </w:pPr>
    </w:p>
    <w:p w14:paraId="13A49F8B" w14:textId="77777777" w:rsidR="001B2D69" w:rsidRDefault="001B2D69" w:rsidP="001B2D69">
      <w:pPr>
        <w:rPr>
          <w:rFonts w:ascii="Times New Roman" w:eastAsia="仿宋" w:hAnsi="Times New Roman"/>
          <w:b/>
          <w:sz w:val="28"/>
          <w:szCs w:val="24"/>
        </w:rPr>
      </w:pPr>
      <w:r>
        <w:rPr>
          <w:rFonts w:ascii="Times New Roman" w:eastAsia="仿宋" w:hAnsi="Times New Roman" w:hint="eastAsia"/>
          <w:b/>
          <w:sz w:val="28"/>
          <w:szCs w:val="24"/>
        </w:rPr>
        <w:t>中国石油大学（北京）碳中和与能源创新发展研究院</w:t>
      </w:r>
    </w:p>
    <w:p w14:paraId="2D894F9E" w14:textId="77777777" w:rsidR="001B2D69" w:rsidRDefault="001B2D69" w:rsidP="001B2D69">
      <w:pPr>
        <w:rPr>
          <w:rFonts w:ascii="Times New Roman" w:eastAsia="仿宋" w:hAnsi="Times New Roman"/>
        </w:rPr>
      </w:pPr>
      <w:r>
        <w:rPr>
          <w:rFonts w:ascii="Times New Roman" w:eastAsia="仿宋" w:hAnsi="Times New Roman" w:hint="eastAsia"/>
          <w:b/>
          <w:color w:val="FF0000"/>
        </w:rPr>
        <w:t>I</w:t>
      </w:r>
      <w:r>
        <w:rPr>
          <w:rFonts w:ascii="Times New Roman" w:eastAsia="仿宋" w:hAnsi="Times New Roman" w:hint="eastAsia"/>
        </w:rPr>
        <w:t xml:space="preserve">nstitute of </w:t>
      </w:r>
      <w:r>
        <w:rPr>
          <w:rFonts w:ascii="Times New Roman" w:eastAsia="仿宋" w:hAnsi="Times New Roman" w:hint="eastAsia"/>
          <w:b/>
          <w:color w:val="FF0000"/>
        </w:rPr>
        <w:t>C</w:t>
      </w:r>
      <w:r>
        <w:rPr>
          <w:rFonts w:ascii="Times New Roman" w:eastAsia="仿宋" w:hAnsi="Times New Roman" w:hint="eastAsia"/>
        </w:rPr>
        <w:t>arbon Neutrality and Innovative</w:t>
      </w:r>
      <w:r>
        <w:rPr>
          <w:rFonts w:ascii="Times New Roman" w:eastAsia="仿宋" w:hAnsi="Times New Roman" w:hint="eastAsia"/>
          <w:b/>
          <w:color w:val="FF0000"/>
        </w:rPr>
        <w:t xml:space="preserve"> E</w:t>
      </w:r>
      <w:r>
        <w:rPr>
          <w:rFonts w:ascii="Times New Roman" w:eastAsia="仿宋" w:hAnsi="Times New Roman" w:hint="eastAsia"/>
        </w:rPr>
        <w:t xml:space="preserve">nergy </w:t>
      </w:r>
      <w:r>
        <w:rPr>
          <w:rFonts w:ascii="Times New Roman" w:eastAsia="仿宋" w:hAnsi="Times New Roman" w:hint="eastAsia"/>
          <w:b/>
          <w:color w:val="FF0000"/>
        </w:rPr>
        <w:t>D</w:t>
      </w:r>
      <w:r>
        <w:rPr>
          <w:rFonts w:ascii="Times New Roman" w:eastAsia="仿宋" w:hAnsi="Times New Roman" w:hint="eastAsia"/>
        </w:rPr>
        <w:t xml:space="preserve">evelopment, </w:t>
      </w:r>
      <w:r>
        <w:rPr>
          <w:rFonts w:ascii="Times New Roman" w:eastAsia="仿宋" w:hAnsi="Times New Roman" w:hint="eastAsia"/>
          <w:b/>
          <w:color w:val="FF0000"/>
        </w:rPr>
        <w:t>C</w:t>
      </w:r>
      <w:r>
        <w:rPr>
          <w:rFonts w:ascii="Times New Roman" w:eastAsia="仿宋" w:hAnsi="Times New Roman" w:hint="eastAsia"/>
        </w:rPr>
        <w:t xml:space="preserve">hina </w:t>
      </w:r>
      <w:r>
        <w:rPr>
          <w:rFonts w:ascii="Times New Roman" w:eastAsia="仿宋" w:hAnsi="Times New Roman" w:hint="eastAsia"/>
          <w:b/>
          <w:color w:val="FF0000"/>
        </w:rPr>
        <w:t>U</w:t>
      </w:r>
      <w:r>
        <w:rPr>
          <w:rFonts w:ascii="Times New Roman" w:eastAsia="仿宋" w:hAnsi="Times New Roman" w:hint="eastAsia"/>
        </w:rPr>
        <w:t xml:space="preserve">niversity of </w:t>
      </w:r>
      <w:r>
        <w:rPr>
          <w:rFonts w:ascii="Times New Roman" w:eastAsia="仿宋" w:hAnsi="Times New Roman" w:hint="eastAsia"/>
          <w:b/>
          <w:color w:val="FF0000"/>
        </w:rPr>
        <w:t>P</w:t>
      </w:r>
      <w:r>
        <w:rPr>
          <w:rFonts w:ascii="Times New Roman" w:eastAsia="仿宋" w:hAnsi="Times New Roman" w:hint="eastAsia"/>
        </w:rPr>
        <w:t xml:space="preserve">etroleum, </w:t>
      </w:r>
      <w:r>
        <w:rPr>
          <w:rFonts w:ascii="Times New Roman" w:eastAsia="仿宋" w:hAnsi="Times New Roman" w:hint="eastAsia"/>
          <w:b/>
          <w:color w:val="FF0000"/>
        </w:rPr>
        <w:t>B</w:t>
      </w:r>
      <w:r>
        <w:rPr>
          <w:rFonts w:ascii="Times New Roman" w:eastAsia="仿宋" w:hAnsi="Times New Roman" w:hint="eastAsia"/>
        </w:rPr>
        <w:t>eijing (ICED-CUPB)</w:t>
      </w:r>
    </w:p>
    <w:p w14:paraId="07C03C1D" w14:textId="77777777" w:rsidR="001B2D69" w:rsidRDefault="001B2D69" w:rsidP="001B2D69">
      <w:pPr>
        <w:spacing w:beforeLines="50" w:before="156"/>
        <w:rPr>
          <w:rFonts w:ascii="Times New Roman" w:eastAsia="仿宋" w:hAnsi="Times New Roman"/>
          <w:b/>
          <w:sz w:val="22"/>
          <w:szCs w:val="24"/>
        </w:rPr>
      </w:pPr>
      <w:r>
        <w:rPr>
          <w:rFonts w:ascii="Times New Roman" w:eastAsia="仿宋" w:hAnsi="Times New Roman" w:hint="eastAsia"/>
          <w:b/>
          <w:noProof/>
          <w:sz w:val="22"/>
          <w:szCs w:val="24"/>
        </w:rPr>
        <w:drawing>
          <wp:anchor distT="0" distB="0" distL="114300" distR="114300" simplePos="0" relativeHeight="251660288" behindDoc="0" locked="0" layoutInCell="1" allowOverlap="1" wp14:anchorId="1326D38D" wp14:editId="538E74A7">
            <wp:simplePos x="0" y="0"/>
            <wp:positionH relativeFrom="column">
              <wp:posOffset>4615815</wp:posOffset>
            </wp:positionH>
            <wp:positionV relativeFrom="paragraph">
              <wp:posOffset>52070</wp:posOffset>
            </wp:positionV>
            <wp:extent cx="825500" cy="825500"/>
            <wp:effectExtent l="0" t="0" r="0" b="0"/>
            <wp:wrapNone/>
            <wp:docPr id="29" name="图片 2" descr="C:\Users\DRF1B7~1.WAN\AppData\Local\Temp\WeChat Files\87ef5284c20781c9349aae4af5354f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descr="C:\Users\DRF1B7~1.WAN\AppData\Local\Temp\WeChat Files\87ef5284c20781c9349aae4af5354f9.jpg"/>
                    <pic:cNvPicPr>
                      <a:picLocks noChangeAspect="1" noChangeArrowheads="1"/>
                    </pic:cNvPicPr>
                  </pic:nvPicPr>
                  <pic:blipFill>
                    <a:blip r:embed="rId18" cstate="print"/>
                    <a:srcRect/>
                    <a:stretch>
                      <a:fillRect/>
                    </a:stretch>
                  </pic:blipFill>
                  <pic:spPr>
                    <a:xfrm>
                      <a:off x="0" y="0"/>
                      <a:ext cx="825500" cy="825500"/>
                    </a:xfrm>
                    <a:prstGeom prst="rect">
                      <a:avLst/>
                    </a:prstGeom>
                    <a:noFill/>
                    <a:ln>
                      <a:noFill/>
                    </a:ln>
                  </pic:spPr>
                </pic:pic>
              </a:graphicData>
            </a:graphic>
          </wp:anchor>
        </w:drawing>
      </w:r>
      <w:r>
        <w:rPr>
          <w:rFonts w:ascii="Times New Roman" w:eastAsia="仿宋" w:hAnsi="Times New Roman" w:hint="eastAsia"/>
          <w:b/>
          <w:noProof/>
          <w:sz w:val="22"/>
          <w:szCs w:val="24"/>
        </w:rPr>
        <mc:AlternateContent>
          <mc:Choice Requires="wps">
            <w:drawing>
              <wp:anchor distT="0" distB="0" distL="114300" distR="114300" simplePos="0" relativeHeight="251659264" behindDoc="0" locked="0" layoutInCell="1" allowOverlap="1" wp14:anchorId="1B1E1FDC" wp14:editId="6DB8F1B1">
                <wp:simplePos x="0" y="0"/>
                <wp:positionH relativeFrom="column">
                  <wp:posOffset>5080</wp:posOffset>
                </wp:positionH>
                <wp:positionV relativeFrom="paragraph">
                  <wp:posOffset>33655</wp:posOffset>
                </wp:positionV>
                <wp:extent cx="5401310" cy="0"/>
                <wp:effectExtent l="0" t="0" r="0" b="0"/>
                <wp:wrapNone/>
                <wp:docPr id="32" name="直接连接符 4"/>
                <wp:cNvGraphicFramePr/>
                <a:graphic xmlns:a="http://schemas.openxmlformats.org/drawingml/2006/main">
                  <a:graphicData uri="http://schemas.microsoft.com/office/word/2010/wordprocessingShape">
                    <wps:wsp>
                      <wps:cNvCnPr/>
                      <wps:spPr>
                        <a:xfrm>
                          <a:off x="0" y="0"/>
                          <a:ext cx="54013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38B6E92" id="直接连接符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pt,2.65pt" to="425.7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" strokecolor="black [3200]" strokeweight="1pt">
                <v:stroke joinstyle="miter"/>
              </v:line>
            </w:pict>
          </mc:Fallback>
        </mc:AlternateContent>
      </w:r>
      <w:r>
        <w:rPr>
          <w:rFonts w:ascii="Times New Roman" w:eastAsia="仿宋" w:hAnsi="Times New Roman" w:hint="eastAsia"/>
          <w:b/>
          <w:sz w:val="22"/>
          <w:szCs w:val="24"/>
        </w:rPr>
        <w:t>联系电话：</w:t>
      </w:r>
      <w:r>
        <w:rPr>
          <w:rFonts w:ascii="Times New Roman" w:eastAsia="仿宋" w:hAnsi="Times New Roman" w:hint="eastAsia"/>
          <w:b/>
          <w:sz w:val="22"/>
          <w:szCs w:val="24"/>
        </w:rPr>
        <w:t xml:space="preserve">010-89733072          </w:t>
      </w:r>
      <w:r>
        <w:rPr>
          <w:rFonts w:ascii="Times New Roman" w:eastAsia="仿宋" w:hAnsi="Times New Roman" w:hint="eastAsia"/>
          <w:b/>
          <w:sz w:val="22"/>
          <w:szCs w:val="24"/>
        </w:rPr>
        <w:t>邮箱：</w:t>
      </w:r>
      <w:r>
        <w:rPr>
          <w:rFonts w:ascii="Times New Roman" w:eastAsia="仿宋" w:hAnsi="Times New Roman" w:hint="eastAsia"/>
          <w:b/>
          <w:sz w:val="22"/>
          <w:szCs w:val="24"/>
        </w:rPr>
        <w:t>iced-cupb@cup.edu.cn</w:t>
      </w:r>
    </w:p>
    <w:p w14:paraId="74CEE499" w14:textId="77777777" w:rsidR="001B2D69" w:rsidRDefault="001B2D69" w:rsidP="001B2D69">
      <w:pPr>
        <w:rPr>
          <w:rFonts w:ascii="Times New Roman" w:eastAsia="仿宋" w:hAnsi="Times New Roman"/>
          <w:b/>
          <w:sz w:val="22"/>
          <w:szCs w:val="24"/>
        </w:rPr>
      </w:pPr>
      <w:proofErr w:type="gramStart"/>
      <w:r>
        <w:rPr>
          <w:rFonts w:ascii="Times New Roman" w:eastAsia="仿宋" w:hAnsi="Times New Roman" w:hint="eastAsia"/>
          <w:b/>
          <w:sz w:val="22"/>
          <w:szCs w:val="24"/>
        </w:rPr>
        <w:t>微信公众号</w:t>
      </w:r>
      <w:proofErr w:type="gramEnd"/>
      <w:r>
        <w:rPr>
          <w:rFonts w:ascii="Times New Roman" w:eastAsia="仿宋" w:hAnsi="Times New Roman" w:hint="eastAsia"/>
          <w:b/>
          <w:sz w:val="22"/>
          <w:szCs w:val="24"/>
        </w:rPr>
        <w:t>：</w:t>
      </w:r>
      <w:r>
        <w:rPr>
          <w:rFonts w:ascii="Times New Roman" w:eastAsia="仿宋" w:hAnsi="Times New Roman" w:hint="eastAsia"/>
          <w:b/>
          <w:sz w:val="22"/>
          <w:szCs w:val="24"/>
        </w:rPr>
        <w:t>ICED-CUPB</w:t>
      </w:r>
    </w:p>
    <w:p w14:paraId="4024A709" w14:textId="77777777" w:rsidR="001B2D69" w:rsidRDefault="001B2D69" w:rsidP="001B2D69">
      <w:pPr>
        <w:rPr>
          <w:rFonts w:ascii="Times New Roman" w:eastAsia="仿宋" w:hAnsi="Times New Roman"/>
          <w:b/>
          <w:sz w:val="22"/>
          <w:szCs w:val="24"/>
        </w:rPr>
      </w:pPr>
      <w:r>
        <w:rPr>
          <w:rFonts w:ascii="Times New Roman" w:eastAsia="仿宋" w:hAnsi="Times New Roman" w:hint="eastAsia"/>
          <w:b/>
          <w:sz w:val="22"/>
          <w:szCs w:val="24"/>
        </w:rPr>
        <w:t>地址：北京市昌平区府学路</w:t>
      </w:r>
      <w:r>
        <w:rPr>
          <w:rFonts w:ascii="Times New Roman" w:eastAsia="仿宋" w:hAnsi="Times New Roman" w:hint="eastAsia"/>
          <w:b/>
          <w:sz w:val="22"/>
          <w:szCs w:val="24"/>
        </w:rPr>
        <w:t>18</w:t>
      </w:r>
      <w:r>
        <w:rPr>
          <w:rFonts w:ascii="Times New Roman" w:eastAsia="仿宋" w:hAnsi="Times New Roman" w:hint="eastAsia"/>
          <w:b/>
          <w:sz w:val="22"/>
          <w:szCs w:val="24"/>
        </w:rPr>
        <w:t>号</w:t>
      </w:r>
    </w:p>
    <w:p w14:paraId="5928DC02" w14:textId="77777777" w:rsidR="001B2D69" w:rsidRDefault="001B2D69" w:rsidP="001B2D69">
      <w:pPr>
        <w:rPr>
          <w:rFonts w:ascii="Times New Roman" w:eastAsia="仿宋" w:hAnsi="Times New Roman"/>
          <w:b/>
          <w:sz w:val="22"/>
          <w:szCs w:val="24"/>
        </w:rPr>
      </w:pPr>
      <w:r>
        <w:rPr>
          <w:rFonts w:ascii="Times New Roman" w:eastAsia="仿宋" w:hAnsi="Times New Roman" w:hint="eastAsia"/>
          <w:b/>
          <w:sz w:val="22"/>
          <w:szCs w:val="24"/>
        </w:rPr>
        <w:t xml:space="preserve">Add: No. 18, </w:t>
      </w:r>
      <w:proofErr w:type="spellStart"/>
      <w:r>
        <w:rPr>
          <w:rFonts w:ascii="Times New Roman" w:eastAsia="仿宋" w:hAnsi="Times New Roman" w:hint="eastAsia"/>
          <w:b/>
          <w:sz w:val="22"/>
          <w:szCs w:val="24"/>
        </w:rPr>
        <w:t>Fuxue</w:t>
      </w:r>
      <w:proofErr w:type="spellEnd"/>
      <w:r>
        <w:rPr>
          <w:rFonts w:ascii="Times New Roman" w:eastAsia="仿宋" w:hAnsi="Times New Roman" w:hint="eastAsia"/>
          <w:b/>
          <w:sz w:val="22"/>
          <w:szCs w:val="24"/>
        </w:rPr>
        <w:t xml:space="preserve"> Rd., Changping District, Beijing, 102249, China</w:t>
      </w:r>
    </w:p>
    <w:p w14:paraId="0F8D2D78" w14:textId="77777777" w:rsidR="001B2D69" w:rsidRDefault="001B2D69" w:rsidP="001B2D69">
      <w:pPr>
        <w:rPr>
          <w:rFonts w:hint="eastAsia"/>
        </w:rPr>
      </w:pPr>
    </w:p>
    <w:p w14:paraId="682BC771" w14:textId="77777777" w:rsidR="00DF1225" w:rsidRPr="001B2D69" w:rsidRDefault="00DF1225">
      <w:pPr>
        <w:rPr>
          <w:rFonts w:hint="eastAsia"/>
        </w:rPr>
      </w:pPr>
    </w:p>
    <w:sectPr w:rsidR="00DF1225" w:rsidRPr="001B2D69" w:rsidSect="001B2D69">
      <w:footerReference w:type="default" r:id="rId19"/>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5C160" w14:textId="77777777" w:rsidR="00985C1D" w:rsidRDefault="00985C1D">
      <w:pPr>
        <w:rPr>
          <w:rFonts w:hint="eastAsia"/>
        </w:rPr>
      </w:pPr>
      <w:r>
        <w:separator/>
      </w:r>
    </w:p>
  </w:endnote>
  <w:endnote w:type="continuationSeparator" w:id="0">
    <w:p w14:paraId="729AF8B6" w14:textId="77777777" w:rsidR="00985C1D" w:rsidRDefault="00985C1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IJQKS+FangSong">
    <w:altName w:val="宋体"/>
    <w:charset w:val="86"/>
    <w:family w:val="roma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DejaVu Math TeX Gyre">
    <w:altName w:val="Calibri"/>
    <w:charset w:val="00"/>
    <w:family w:val="auto"/>
    <w:pitch w:val="variable"/>
    <w:sig w:usb0="A10000EF" w:usb1="4201F9EE" w:usb2="02000000" w:usb3="00000000" w:csb0="0000019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54053"/>
    </w:sdtPr>
    <w:sdtEndPr>
      <w:rPr>
        <w:rFonts w:ascii="Times New Roman" w:hAnsi="Times New Roman" w:cs="Times New Roman"/>
        <w:sz w:val="22"/>
        <w:szCs w:val="22"/>
      </w:rPr>
    </w:sdtEndPr>
    <w:sdtContent>
      <w:p w14:paraId="107CAAC8" w14:textId="77777777" w:rsidR="00DF1225" w:rsidRDefault="00000000">
        <w:pPr>
          <w:pStyle w:val="a3"/>
          <w:jc w:val="center"/>
          <w:rPr>
            <w:rFonts w:ascii="Times New Roman" w:hAnsi="Times New Roman" w:cs="Times New Roman"/>
            <w:sz w:val="22"/>
            <w:szCs w:val="22"/>
          </w:rPr>
        </w:pPr>
        <w:r>
          <w:rPr>
            <w:rFonts w:ascii="Times New Roman" w:hAnsi="Times New Roman" w:cs="Times New Roman" w:hint="eastAsia"/>
            <w:sz w:val="22"/>
            <w:szCs w:val="22"/>
          </w:rPr>
          <w:t>-</w:t>
        </w:r>
        <w:r>
          <w:t xml:space="preserve"> </w:t>
        </w:r>
        <w:r>
          <w:rPr>
            <w:rFonts w:ascii="Times New Roman" w:hAnsi="Times New Roman" w:cs="Times New Roman"/>
            <w:sz w:val="22"/>
            <w:szCs w:val="22"/>
          </w:rPr>
          <w:fldChar w:fldCharType="begin"/>
        </w:r>
        <w:r>
          <w:rPr>
            <w:rFonts w:ascii="Times New Roman" w:hAnsi="Times New Roman" w:cs="Times New Roman"/>
            <w:sz w:val="22"/>
            <w:szCs w:val="22"/>
          </w:rPr>
          <w:instrText>PAGE   \* MERGEFORMAT</w:instrText>
        </w:r>
        <w:r>
          <w:rPr>
            <w:rFonts w:ascii="Times New Roman" w:hAnsi="Times New Roman" w:cs="Times New Roman"/>
            <w:sz w:val="22"/>
            <w:szCs w:val="22"/>
          </w:rPr>
          <w:fldChar w:fldCharType="separate"/>
        </w:r>
        <w:r>
          <w:rPr>
            <w:rFonts w:ascii="Times New Roman" w:hAnsi="Times New Roman" w:cs="Times New Roman"/>
            <w:sz w:val="22"/>
            <w:szCs w:val="22"/>
            <w:lang w:val="zh-CN"/>
          </w:rPr>
          <w:t>2</w:t>
        </w:r>
        <w:r>
          <w:rPr>
            <w:rFonts w:ascii="Times New Roman" w:hAnsi="Times New Roman" w:cs="Times New Roman"/>
            <w:sz w:val="22"/>
            <w:szCs w:val="22"/>
          </w:rPr>
          <w:fldChar w:fldCharType="end"/>
        </w:r>
        <w:r>
          <w:rPr>
            <w:rFonts w:ascii="Times New Roman" w:hAnsi="Times New Roman" w:cs="Times New Roman"/>
            <w:sz w:val="22"/>
            <w:szCs w:val="22"/>
          </w:rPr>
          <w:t xml:space="preserve"> </w:t>
        </w:r>
        <w:r>
          <w:rPr>
            <w:rFonts w:ascii="Times New Roman" w:hAnsi="Times New Roman" w:cs="Times New Roman" w:hint="eastAsia"/>
            <w:sz w:val="22"/>
            <w:szCs w:val="22"/>
          </w:rPr>
          <w:t>-</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993231"/>
    </w:sdtPr>
    <w:sdtEndPr>
      <w:rPr>
        <w:rFonts w:ascii="Times New Roman" w:hAnsi="Times New Roman" w:cs="Times New Roman"/>
        <w:sz w:val="22"/>
        <w:szCs w:val="22"/>
      </w:rPr>
    </w:sdtEndPr>
    <w:sdtContent>
      <w:p w14:paraId="21F66F15" w14:textId="77777777" w:rsidR="00DF1225" w:rsidRDefault="00000000">
        <w:pPr>
          <w:pStyle w:val="a3"/>
          <w:jc w:val="center"/>
          <w:rPr>
            <w:rFonts w:ascii="Times New Roman" w:hAnsi="Times New Roman" w:cs="Times New Roman"/>
            <w:sz w:val="22"/>
            <w:szCs w:val="22"/>
          </w:rPr>
        </w:pPr>
        <w:r>
          <w:rPr>
            <w:rFonts w:ascii="Times New Roman" w:hAnsi="Times New Roman" w:cs="Times New Roman" w:hint="eastAsia"/>
            <w:sz w:val="22"/>
            <w:szCs w:val="22"/>
          </w:rPr>
          <w:t>-</w:t>
        </w:r>
        <w:r>
          <w:t xml:space="preserve"> </w:t>
        </w:r>
        <w:r>
          <w:rPr>
            <w:rFonts w:ascii="Times New Roman" w:hAnsi="Times New Roman" w:cs="Times New Roman"/>
            <w:sz w:val="22"/>
            <w:szCs w:val="22"/>
          </w:rPr>
          <w:fldChar w:fldCharType="begin"/>
        </w:r>
        <w:r>
          <w:rPr>
            <w:rFonts w:ascii="Times New Roman" w:hAnsi="Times New Roman" w:cs="Times New Roman"/>
            <w:sz w:val="22"/>
            <w:szCs w:val="22"/>
          </w:rPr>
          <w:instrText>PAGE   \* MERGEFORMAT</w:instrText>
        </w:r>
        <w:r>
          <w:rPr>
            <w:rFonts w:ascii="Times New Roman" w:hAnsi="Times New Roman" w:cs="Times New Roman"/>
            <w:sz w:val="22"/>
            <w:szCs w:val="22"/>
          </w:rPr>
          <w:fldChar w:fldCharType="separate"/>
        </w:r>
        <w:r>
          <w:rPr>
            <w:rFonts w:ascii="Times New Roman" w:hAnsi="Times New Roman" w:cs="Times New Roman"/>
            <w:sz w:val="22"/>
          </w:rPr>
          <w:t>1</w:t>
        </w:r>
        <w:r>
          <w:rPr>
            <w:rFonts w:ascii="Times New Roman" w:hAnsi="Times New Roman" w:cs="Times New Roman"/>
            <w:sz w:val="22"/>
            <w:szCs w:val="22"/>
          </w:rPr>
          <w:fldChar w:fldCharType="end"/>
        </w:r>
        <w:r>
          <w:rPr>
            <w:rFonts w:ascii="Times New Roman" w:hAnsi="Times New Roman" w:cs="Times New Roman"/>
            <w:sz w:val="22"/>
            <w:szCs w:val="22"/>
          </w:rPr>
          <w:t xml:space="preserve"> </w:t>
        </w:r>
        <w:r>
          <w:rPr>
            <w:rFonts w:ascii="Times New Roman" w:hAnsi="Times New Roman" w:cs="Times New Roman" w:hint="eastAsia"/>
            <w:sz w:val="22"/>
            <w:szCs w:val="22"/>
          </w:rPr>
          <w:t>-</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D0B09" w14:textId="77777777" w:rsidR="001B2D69" w:rsidRDefault="001B2D69">
    <w:pPr>
      <w:pStyle w:val="a3"/>
      <w:jc w:val="center"/>
      <w:rPr>
        <w:rFonts w:ascii="Times New Roman" w:hAnsi="Times New Roman" w:cs="Times New Roman"/>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E9BA2" w14:textId="77777777" w:rsidR="00985C1D" w:rsidRDefault="00985C1D">
      <w:pPr>
        <w:rPr>
          <w:rFonts w:hint="eastAsia"/>
        </w:rPr>
      </w:pPr>
      <w:r>
        <w:separator/>
      </w:r>
    </w:p>
  </w:footnote>
  <w:footnote w:type="continuationSeparator" w:id="0">
    <w:p w14:paraId="5555B43A" w14:textId="77777777" w:rsidR="00985C1D" w:rsidRDefault="00985C1D">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0A49B4"/>
    <w:multiLevelType w:val="multilevel"/>
    <w:tmpl w:val="330A49B4"/>
    <w:lvl w:ilvl="0">
      <w:start w:val="1"/>
      <w:numFmt w:val="decimal"/>
      <w:lvlText w:val="（%1）"/>
      <w:lvlJc w:val="left"/>
      <w:pPr>
        <w:ind w:left="1280" w:hanging="720"/>
      </w:pPr>
      <w:rPr>
        <w:rFonts w:ascii="Times New Roman" w:hAnsi="Times New Roman" w:cstheme="minorBidi" w:hint="default"/>
      </w:rPr>
    </w:lvl>
    <w:lvl w:ilvl="1">
      <w:start w:val="1"/>
      <w:numFmt w:val="lowerLetter"/>
      <w:lvlText w:val="%2)"/>
      <w:lvlJc w:val="left"/>
      <w:pPr>
        <w:ind w:left="1440" w:hanging="440"/>
      </w:pPr>
    </w:lvl>
    <w:lvl w:ilvl="2">
      <w:start w:val="1"/>
      <w:numFmt w:val="lowerRoman"/>
      <w:lvlText w:val="%3."/>
      <w:lvlJc w:val="right"/>
      <w:pPr>
        <w:ind w:left="1880" w:hanging="440"/>
      </w:pPr>
    </w:lvl>
    <w:lvl w:ilvl="3">
      <w:start w:val="1"/>
      <w:numFmt w:val="decimal"/>
      <w:lvlText w:val="%4."/>
      <w:lvlJc w:val="left"/>
      <w:pPr>
        <w:ind w:left="2320" w:hanging="440"/>
      </w:pPr>
    </w:lvl>
    <w:lvl w:ilvl="4">
      <w:start w:val="1"/>
      <w:numFmt w:val="lowerLetter"/>
      <w:lvlText w:val="%5)"/>
      <w:lvlJc w:val="left"/>
      <w:pPr>
        <w:ind w:left="2760" w:hanging="440"/>
      </w:pPr>
    </w:lvl>
    <w:lvl w:ilvl="5">
      <w:start w:val="1"/>
      <w:numFmt w:val="lowerRoman"/>
      <w:lvlText w:val="%6."/>
      <w:lvlJc w:val="right"/>
      <w:pPr>
        <w:ind w:left="3200" w:hanging="440"/>
      </w:pPr>
    </w:lvl>
    <w:lvl w:ilvl="6">
      <w:start w:val="1"/>
      <w:numFmt w:val="decimal"/>
      <w:lvlText w:val="%7."/>
      <w:lvlJc w:val="left"/>
      <w:pPr>
        <w:ind w:left="3640" w:hanging="440"/>
      </w:pPr>
    </w:lvl>
    <w:lvl w:ilvl="7">
      <w:start w:val="1"/>
      <w:numFmt w:val="lowerLetter"/>
      <w:lvlText w:val="%8)"/>
      <w:lvlJc w:val="left"/>
      <w:pPr>
        <w:ind w:left="4080" w:hanging="440"/>
      </w:pPr>
    </w:lvl>
    <w:lvl w:ilvl="8">
      <w:start w:val="1"/>
      <w:numFmt w:val="lowerRoman"/>
      <w:lvlText w:val="%9."/>
      <w:lvlJc w:val="right"/>
      <w:pPr>
        <w:ind w:left="4520" w:hanging="440"/>
      </w:pPr>
    </w:lvl>
  </w:abstractNum>
  <w:num w:numId="1" w16cid:durableId="1095398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9ED19DD"/>
    <w:rsid w:val="87AC40E9"/>
    <w:rsid w:val="9FFCA158"/>
    <w:rsid w:val="A87FCC63"/>
    <w:rsid w:val="AEFC515C"/>
    <w:rsid w:val="AFBBE086"/>
    <w:rsid w:val="B5FEB12F"/>
    <w:rsid w:val="B87FA8AC"/>
    <w:rsid w:val="BBBDA9D4"/>
    <w:rsid w:val="BECF16DB"/>
    <w:rsid w:val="BF6A2051"/>
    <w:rsid w:val="D6D72B8F"/>
    <w:rsid w:val="D8F9CA69"/>
    <w:rsid w:val="DCF9F04F"/>
    <w:rsid w:val="DF7FCF49"/>
    <w:rsid w:val="DF8D71F2"/>
    <w:rsid w:val="DFDF0923"/>
    <w:rsid w:val="E6DD682F"/>
    <w:rsid w:val="E77F70D5"/>
    <w:rsid w:val="E7B6217E"/>
    <w:rsid w:val="E7BD9C42"/>
    <w:rsid w:val="E9B6C461"/>
    <w:rsid w:val="EBE82486"/>
    <w:rsid w:val="EDA5AC7E"/>
    <w:rsid w:val="EDEB8D25"/>
    <w:rsid w:val="EE269332"/>
    <w:rsid w:val="EFB34529"/>
    <w:rsid w:val="EFFDC5BC"/>
    <w:rsid w:val="F1BE870E"/>
    <w:rsid w:val="F3FFB7B3"/>
    <w:rsid w:val="F47881A6"/>
    <w:rsid w:val="F55FD1EF"/>
    <w:rsid w:val="F797B5C8"/>
    <w:rsid w:val="F79D07FE"/>
    <w:rsid w:val="F7CD1F0A"/>
    <w:rsid w:val="F9FB3324"/>
    <w:rsid w:val="FAFF2163"/>
    <w:rsid w:val="FBBE323D"/>
    <w:rsid w:val="FD339D6F"/>
    <w:rsid w:val="FD6F3E9C"/>
    <w:rsid w:val="FD9DA274"/>
    <w:rsid w:val="FF193794"/>
    <w:rsid w:val="FF5B09C6"/>
    <w:rsid w:val="FFB780A9"/>
    <w:rsid w:val="FFD508F7"/>
    <w:rsid w:val="FFEDB02F"/>
    <w:rsid w:val="FFF32FCF"/>
    <w:rsid w:val="FFFDA4E2"/>
    <w:rsid w:val="000109D5"/>
    <w:rsid w:val="00021613"/>
    <w:rsid w:val="00023241"/>
    <w:rsid w:val="00047E17"/>
    <w:rsid w:val="000705C5"/>
    <w:rsid w:val="00071981"/>
    <w:rsid w:val="00077EBA"/>
    <w:rsid w:val="000A7271"/>
    <w:rsid w:val="000D2E6C"/>
    <w:rsid w:val="000F75C7"/>
    <w:rsid w:val="0010592A"/>
    <w:rsid w:val="00140703"/>
    <w:rsid w:val="0014528F"/>
    <w:rsid w:val="001B2D69"/>
    <w:rsid w:val="001B6BA6"/>
    <w:rsid w:val="001E2372"/>
    <w:rsid w:val="0023451A"/>
    <w:rsid w:val="0025731B"/>
    <w:rsid w:val="0026577E"/>
    <w:rsid w:val="00276CCF"/>
    <w:rsid w:val="00293756"/>
    <w:rsid w:val="002B620C"/>
    <w:rsid w:val="002D3C86"/>
    <w:rsid w:val="00307064"/>
    <w:rsid w:val="00334A8A"/>
    <w:rsid w:val="00342F85"/>
    <w:rsid w:val="00370E2B"/>
    <w:rsid w:val="00383D31"/>
    <w:rsid w:val="00393576"/>
    <w:rsid w:val="003E3466"/>
    <w:rsid w:val="00417181"/>
    <w:rsid w:val="004213E4"/>
    <w:rsid w:val="00455CDC"/>
    <w:rsid w:val="0046347E"/>
    <w:rsid w:val="00466C17"/>
    <w:rsid w:val="00490717"/>
    <w:rsid w:val="00492494"/>
    <w:rsid w:val="004A5663"/>
    <w:rsid w:val="004B3FDE"/>
    <w:rsid w:val="004E6CF7"/>
    <w:rsid w:val="00503EC1"/>
    <w:rsid w:val="0050460D"/>
    <w:rsid w:val="00512D98"/>
    <w:rsid w:val="00556D24"/>
    <w:rsid w:val="00573353"/>
    <w:rsid w:val="005A471C"/>
    <w:rsid w:val="005B0233"/>
    <w:rsid w:val="005C5DEA"/>
    <w:rsid w:val="005E434D"/>
    <w:rsid w:val="005F59BE"/>
    <w:rsid w:val="00601A10"/>
    <w:rsid w:val="006058D8"/>
    <w:rsid w:val="006520E2"/>
    <w:rsid w:val="0065498A"/>
    <w:rsid w:val="00702A3C"/>
    <w:rsid w:val="00723DEF"/>
    <w:rsid w:val="00736CE6"/>
    <w:rsid w:val="00747AFB"/>
    <w:rsid w:val="00753982"/>
    <w:rsid w:val="0075796A"/>
    <w:rsid w:val="00774527"/>
    <w:rsid w:val="007776A3"/>
    <w:rsid w:val="0078238A"/>
    <w:rsid w:val="007B16CA"/>
    <w:rsid w:val="007B35A6"/>
    <w:rsid w:val="007D19AE"/>
    <w:rsid w:val="007D2BAD"/>
    <w:rsid w:val="007E47A9"/>
    <w:rsid w:val="00801D25"/>
    <w:rsid w:val="008040CB"/>
    <w:rsid w:val="00816261"/>
    <w:rsid w:val="00820DBD"/>
    <w:rsid w:val="008E2C76"/>
    <w:rsid w:val="009107B8"/>
    <w:rsid w:val="00985C1D"/>
    <w:rsid w:val="009E67A3"/>
    <w:rsid w:val="00A331A1"/>
    <w:rsid w:val="00A71D2A"/>
    <w:rsid w:val="00B24BC8"/>
    <w:rsid w:val="00B620CB"/>
    <w:rsid w:val="00B75702"/>
    <w:rsid w:val="00B965E2"/>
    <w:rsid w:val="00BB53E6"/>
    <w:rsid w:val="00BB6B59"/>
    <w:rsid w:val="00BC427C"/>
    <w:rsid w:val="00BD43BB"/>
    <w:rsid w:val="00BE7CA2"/>
    <w:rsid w:val="00BF3F48"/>
    <w:rsid w:val="00C0749E"/>
    <w:rsid w:val="00C20ED8"/>
    <w:rsid w:val="00C259BF"/>
    <w:rsid w:val="00C333F4"/>
    <w:rsid w:val="00C84D1F"/>
    <w:rsid w:val="00C91237"/>
    <w:rsid w:val="00CD3037"/>
    <w:rsid w:val="00CE413A"/>
    <w:rsid w:val="00D060CE"/>
    <w:rsid w:val="00D460F6"/>
    <w:rsid w:val="00D47E90"/>
    <w:rsid w:val="00D931B9"/>
    <w:rsid w:val="00DA041C"/>
    <w:rsid w:val="00DD3AB0"/>
    <w:rsid w:val="00DF1225"/>
    <w:rsid w:val="00E246C1"/>
    <w:rsid w:val="00E27E7E"/>
    <w:rsid w:val="00E340AF"/>
    <w:rsid w:val="00E66E17"/>
    <w:rsid w:val="00EA5DF2"/>
    <w:rsid w:val="00F3407E"/>
    <w:rsid w:val="00F52B54"/>
    <w:rsid w:val="00F67BB5"/>
    <w:rsid w:val="00FF164D"/>
    <w:rsid w:val="0F78A8B9"/>
    <w:rsid w:val="2B95867B"/>
    <w:rsid w:val="2FF9D8FE"/>
    <w:rsid w:val="3937DCC1"/>
    <w:rsid w:val="395FD309"/>
    <w:rsid w:val="39ED19DD"/>
    <w:rsid w:val="3BBFBE14"/>
    <w:rsid w:val="3BF70AAE"/>
    <w:rsid w:val="3CDF8ABF"/>
    <w:rsid w:val="3D7F1E15"/>
    <w:rsid w:val="3EFB198B"/>
    <w:rsid w:val="3F675E58"/>
    <w:rsid w:val="3F7B9F6B"/>
    <w:rsid w:val="3F9D8D7D"/>
    <w:rsid w:val="46DFFA55"/>
    <w:rsid w:val="4FF55F8C"/>
    <w:rsid w:val="571EF378"/>
    <w:rsid w:val="57BC2BB3"/>
    <w:rsid w:val="5A5BCD39"/>
    <w:rsid w:val="5DE829C0"/>
    <w:rsid w:val="5F1D3AB9"/>
    <w:rsid w:val="5F5D85E0"/>
    <w:rsid w:val="5FFF136B"/>
    <w:rsid w:val="657E66E4"/>
    <w:rsid w:val="67165EE6"/>
    <w:rsid w:val="679D1EFC"/>
    <w:rsid w:val="6BF532D8"/>
    <w:rsid w:val="6D1A1DDC"/>
    <w:rsid w:val="6DB71C64"/>
    <w:rsid w:val="6EDF6552"/>
    <w:rsid w:val="6F6F7298"/>
    <w:rsid w:val="6FDF13FD"/>
    <w:rsid w:val="6FFB315A"/>
    <w:rsid w:val="74F84BDF"/>
    <w:rsid w:val="75FFB1BF"/>
    <w:rsid w:val="763F8DDF"/>
    <w:rsid w:val="76AB5D45"/>
    <w:rsid w:val="76D6CA06"/>
    <w:rsid w:val="779E7597"/>
    <w:rsid w:val="77BCDBDF"/>
    <w:rsid w:val="77FE1051"/>
    <w:rsid w:val="785FFECC"/>
    <w:rsid w:val="787B6340"/>
    <w:rsid w:val="797EB9DF"/>
    <w:rsid w:val="7A2B58CE"/>
    <w:rsid w:val="7AEDFD8C"/>
    <w:rsid w:val="7AFE6A12"/>
    <w:rsid w:val="7B3F9348"/>
    <w:rsid w:val="7BAE73A0"/>
    <w:rsid w:val="7BD3A090"/>
    <w:rsid w:val="7BF668B1"/>
    <w:rsid w:val="7C76852F"/>
    <w:rsid w:val="7D17431A"/>
    <w:rsid w:val="7DE72E40"/>
    <w:rsid w:val="7DFC694D"/>
    <w:rsid w:val="7DFF8A24"/>
    <w:rsid w:val="7E3BE4EC"/>
    <w:rsid w:val="7E4F3A3B"/>
    <w:rsid w:val="7E7B2107"/>
    <w:rsid w:val="7EA385B8"/>
    <w:rsid w:val="7EEF2B5B"/>
    <w:rsid w:val="7F753FBC"/>
    <w:rsid w:val="7F7BBBEF"/>
    <w:rsid w:val="7F7D023D"/>
    <w:rsid w:val="7FBCD1FD"/>
    <w:rsid w:val="7FBDBAEE"/>
    <w:rsid w:val="7FDA30C1"/>
    <w:rsid w:val="7FDD1900"/>
    <w:rsid w:val="7FE65596"/>
    <w:rsid w:val="7FF5D21C"/>
    <w:rsid w:val="7FF7696F"/>
    <w:rsid w:val="7FFFBE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643DC2"/>
  <w15:docId w15:val="{15CDABE8-42BA-4955-9BBB-0FA69B55E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uiPriority="99" w:unhideWhenUsed="1"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等线" w:eastAsia="等线" w:hAnsi="等线"/>
      <w:kern w:val="2"/>
      <w:sz w:val="21"/>
      <w:szCs w:val="21"/>
    </w:rPr>
  </w:style>
  <w:style w:type="paragraph" w:styleId="2">
    <w:name w:val="heading 2"/>
    <w:basedOn w:val="a"/>
    <w:next w:val="a"/>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customStyle="1" w:styleId="1">
    <w:name w:val="修订1"/>
    <w:hidden/>
    <w:uiPriority w:val="99"/>
    <w:unhideWhenUsed/>
    <w:rPr>
      <w:rFonts w:ascii="等线" w:eastAsia="等线" w:hAnsi="等线"/>
      <w:kern w:val="2"/>
      <w:sz w:val="21"/>
      <w:szCs w:val="21"/>
    </w:rPr>
  </w:style>
  <w:style w:type="character" w:customStyle="1" w:styleId="a4">
    <w:name w:val="页脚 字符"/>
    <w:basedOn w:val="a0"/>
    <w:link w:val="a3"/>
    <w:uiPriority w:val="99"/>
    <w:qFormat/>
    <w:rPr>
      <w:rFonts w:asciiTheme="minorHAnsi" w:hAnsiTheme="minorHAnsi" w:cstheme="minorBidi"/>
      <w:kern w:val="2"/>
      <w:sz w:val="18"/>
      <w:szCs w:val="18"/>
    </w:rPr>
  </w:style>
  <w:style w:type="character" w:styleId="a5">
    <w:name w:val="Strong"/>
    <w:basedOn w:val="a0"/>
    <w:uiPriority w:val="22"/>
    <w:qFormat/>
    <w:rPr>
      <w:b/>
      <w:bCs/>
    </w:rPr>
  </w:style>
  <w:style w:type="table" w:styleId="a6">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8">
    <w:name w:val="List Paragraph"/>
    <w:basedOn w:val="a"/>
    <w:uiPriority w:val="34"/>
    <w:qFormat/>
    <w:pPr>
      <w:ind w:firstLineChars="200" w:firstLine="420"/>
    </w:pPr>
    <w:rPr>
      <w:rFonts w:asciiTheme="minorHAnsi" w:eastAsiaTheme="minorEastAsia" w:hAnsiTheme="minorHAnsi" w:cstheme="minorBidi"/>
      <w:szCs w:val="22"/>
    </w:rPr>
  </w:style>
  <w:style w:type="paragraph" w:customStyle="1" w:styleId="Default">
    <w:name w:val="Default"/>
    <w:qFormat/>
    <w:pPr>
      <w:widowControl w:val="0"/>
      <w:autoSpaceDE w:val="0"/>
      <w:autoSpaceDN w:val="0"/>
      <w:adjustRightInd w:val="0"/>
    </w:pPr>
    <w:rPr>
      <w:rFonts w:ascii="VIJQKS+FangSong" w:eastAsia="VIJQKS+FangSong" w:hAnsiTheme="minorHAnsi" w:cs="VIJQKS+FangSong"/>
      <w:color w:val="000000"/>
      <w:sz w:val="24"/>
      <w:szCs w:val="24"/>
    </w:rPr>
  </w:style>
  <w:style w:type="character" w:styleId="a9">
    <w:name w:val="Placeholder Text"/>
    <w:basedOn w:val="a0"/>
    <w:uiPriority w:val="99"/>
    <w:unhideWhenUsed/>
    <w:qFormat/>
    <w:rPr>
      <w:color w:val="666666"/>
    </w:rPr>
  </w:style>
  <w:style w:type="paragraph" w:styleId="aa">
    <w:name w:val="header"/>
    <w:basedOn w:val="a"/>
    <w:link w:val="ab"/>
    <w:rsid w:val="001B2D69"/>
    <w:pPr>
      <w:tabs>
        <w:tab w:val="center" w:pos="4153"/>
        <w:tab w:val="right" w:pos="8306"/>
      </w:tabs>
      <w:snapToGrid w:val="0"/>
      <w:jc w:val="center"/>
    </w:pPr>
    <w:rPr>
      <w:sz w:val="18"/>
      <w:szCs w:val="18"/>
    </w:rPr>
  </w:style>
  <w:style w:type="character" w:customStyle="1" w:styleId="ab">
    <w:name w:val="页眉 字符"/>
    <w:basedOn w:val="a0"/>
    <w:link w:val="aa"/>
    <w:rsid w:val="001B2D69"/>
    <w:rPr>
      <w:rFonts w:ascii="等线" w:eastAsia="等线" w:hAnsi="等线"/>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26</Pages>
  <Words>1992</Words>
  <Characters>11356</Characters>
  <Application>Microsoft Office Word</Application>
  <DocSecurity>0</DocSecurity>
  <Lines>94</Lines>
  <Paragraphs>26</Paragraphs>
  <ScaleCrop>false</ScaleCrop>
  <Company/>
  <LinksUpToDate>false</LinksUpToDate>
  <CharactersWithSpaces>13322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jiangtao guo</cp:lastModifiedBy>
  <cp:revision>7</cp:revision>
  <dcterms:created xsi:type="dcterms:W3CDTF">2026-09-19T12:54:00Z</dcterms:created>
  <dcterms:modified xsi:type="dcterms:W3CDTF">2026-09-24T07:10:00Z</dcterms:modified>
</cp:coreProperties>
</file>