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24A" w:rsidRDefault="00E825A9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</w:t>
      </w:r>
      <w:r w:rsidR="008C027E"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至202</w:t>
      </w:r>
      <w:r w:rsidR="008C027E">
        <w:rPr>
          <w:rFonts w:ascii="宋体" w:hAnsi="宋体"/>
          <w:b/>
          <w:sz w:val="28"/>
        </w:rPr>
        <w:t>1</w:t>
      </w:r>
      <w:r>
        <w:rPr>
          <w:rFonts w:ascii="宋体" w:hAnsi="宋体" w:hint="eastAsia"/>
          <w:b/>
          <w:sz w:val="28"/>
        </w:rPr>
        <w:t>学年 第一学期</w:t>
      </w:r>
    </w:p>
    <w:p w:rsidR="008E324A" w:rsidRDefault="008E324A">
      <w:pPr>
        <w:jc w:val="center"/>
        <w:rPr>
          <w:sz w:val="84"/>
        </w:rPr>
      </w:pPr>
    </w:p>
    <w:p w:rsidR="008E324A" w:rsidRDefault="00E825A9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8E324A" w:rsidRDefault="008E324A">
      <w:pPr>
        <w:jc w:val="center"/>
        <w:rPr>
          <w:b/>
          <w:sz w:val="84"/>
        </w:rPr>
      </w:pPr>
    </w:p>
    <w:p w:rsidR="008E324A" w:rsidRDefault="00E825A9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>大学物理（</w:t>
      </w:r>
      <w:r>
        <w:rPr>
          <w:rFonts w:hint="eastAsia"/>
          <w:sz w:val="28"/>
        </w:rPr>
        <w:t>II</w:t>
      </w:r>
      <w:r>
        <w:rPr>
          <w:rFonts w:hint="eastAsia"/>
          <w:sz w:val="28"/>
        </w:rPr>
        <w:t>）（全英授课）</w:t>
      </w:r>
      <w:r>
        <w:rPr>
          <w:rFonts w:hint="eastAsia"/>
          <w:sz w:val="28"/>
        </w:rPr>
        <w:t xml:space="preserve">  </w:t>
      </w:r>
      <w:r>
        <w:rPr>
          <w:rFonts w:hint="eastAsia"/>
          <w:bCs/>
          <w:sz w:val="28"/>
        </w:rPr>
        <w:t>性质：必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 w:rsidR="008E324A" w:rsidRDefault="00E825A9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rFonts w:hint="eastAsia"/>
          <w:bCs/>
          <w:sz w:val="28"/>
        </w:rPr>
        <w:t xml:space="preserve">64    </w:t>
      </w:r>
      <w:r>
        <w:rPr>
          <w:rFonts w:hint="eastAsia"/>
          <w:bCs/>
          <w:sz w:val="28"/>
        </w:rPr>
        <w:t>讲课：</w:t>
      </w:r>
      <w:r>
        <w:rPr>
          <w:rFonts w:hint="eastAsia"/>
          <w:bCs/>
          <w:sz w:val="28"/>
        </w:rPr>
        <w:t xml:space="preserve">64   </w:t>
      </w:r>
      <w:r>
        <w:rPr>
          <w:rFonts w:hint="eastAsia"/>
          <w:bCs/>
          <w:sz w:val="28"/>
        </w:rPr>
        <w:t>实验：</w:t>
      </w:r>
      <w:r>
        <w:rPr>
          <w:rFonts w:hint="eastAsia"/>
          <w:bCs/>
          <w:sz w:val="28"/>
        </w:rPr>
        <w:t xml:space="preserve">0  </w:t>
      </w:r>
      <w:r>
        <w:rPr>
          <w:rFonts w:hint="eastAsia"/>
          <w:bCs/>
          <w:sz w:val="28"/>
        </w:rPr>
        <w:t>其它：</w:t>
      </w:r>
      <w:r>
        <w:rPr>
          <w:rFonts w:hint="eastAsia"/>
          <w:bCs/>
          <w:sz w:val="28"/>
        </w:rPr>
        <w:t xml:space="preserve">0 </w:t>
      </w:r>
    </w:p>
    <w:p w:rsidR="008E324A" w:rsidRDefault="00E825A9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授课班级：</w:t>
      </w:r>
      <w:r>
        <w:rPr>
          <w:rFonts w:hint="eastAsia"/>
          <w:bCs/>
          <w:sz w:val="28"/>
        </w:rPr>
        <w:t>201</w:t>
      </w:r>
      <w:r w:rsidR="008C027E">
        <w:rPr>
          <w:bCs/>
          <w:sz w:val="28"/>
        </w:rPr>
        <w:t>9</w:t>
      </w:r>
      <w:r>
        <w:rPr>
          <w:rFonts w:hint="eastAsia"/>
          <w:bCs/>
          <w:sz w:val="28"/>
        </w:rPr>
        <w:t>级</w:t>
      </w:r>
      <w:r>
        <w:rPr>
          <w:rFonts w:hint="eastAsia"/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学生人数：＿</w:t>
      </w:r>
      <w:r w:rsidR="008C027E">
        <w:rPr>
          <w:bCs/>
          <w:sz w:val="28"/>
          <w:u w:val="single"/>
        </w:rPr>
        <w:t>22</w:t>
      </w:r>
      <w:r>
        <w:rPr>
          <w:rFonts w:hint="eastAsia"/>
          <w:bCs/>
          <w:sz w:val="28"/>
          <w:u w:val="single"/>
        </w:rPr>
        <w:t>人＿</w:t>
      </w:r>
      <w:r>
        <w:rPr>
          <w:rFonts w:hint="eastAsia"/>
          <w:bCs/>
          <w:sz w:val="28"/>
        </w:rPr>
        <w:t>＿</w:t>
      </w:r>
    </w:p>
    <w:p w:rsidR="008E324A" w:rsidRDefault="00E825A9">
      <w:pPr>
        <w:spacing w:line="480" w:lineRule="auto"/>
        <w:ind w:leftChars="-100" w:left="2870" w:hangingChars="1100" w:hanging="3080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任课教师：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覃方丽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副教授</w:t>
      </w:r>
    </w:p>
    <w:p w:rsidR="008E324A" w:rsidRDefault="00E825A9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 w:rsidR="008E324A" w:rsidRDefault="00E825A9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8E324A" w:rsidRDefault="00E825A9">
      <w:pPr>
        <w:rPr>
          <w:sz w:val="28"/>
        </w:rPr>
      </w:pPr>
      <w:r>
        <w:rPr>
          <w:rFonts w:hint="eastAsia"/>
          <w:sz w:val="28"/>
        </w:rPr>
        <w:t xml:space="preserve">　　教材名称：</w:t>
      </w:r>
      <w:proofErr w:type="spellStart"/>
      <w:r>
        <w:rPr>
          <w:rFonts w:ascii="黑体" w:eastAsia="黑体" w:hint="eastAsia"/>
          <w:sz w:val="24"/>
          <w:szCs w:val="24"/>
        </w:rPr>
        <w:t>Zears</w:t>
      </w:r>
      <w:proofErr w:type="spellEnd"/>
      <w:r>
        <w:rPr>
          <w:rFonts w:ascii="黑体" w:eastAsia="黑体" w:hint="eastAsia"/>
          <w:sz w:val="24"/>
          <w:szCs w:val="24"/>
        </w:rPr>
        <w:t xml:space="preserve"> and </w:t>
      </w:r>
      <w:proofErr w:type="spellStart"/>
      <w:r>
        <w:rPr>
          <w:rFonts w:ascii="黑体" w:eastAsia="黑体" w:hint="eastAsia"/>
          <w:sz w:val="24"/>
          <w:szCs w:val="24"/>
        </w:rPr>
        <w:t>Zemansky's</w:t>
      </w:r>
      <w:proofErr w:type="spellEnd"/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hint="eastAsia"/>
          <w:sz w:val="28"/>
        </w:rPr>
        <w:t xml:space="preserve">University Physics with Modern Physics </w:t>
      </w:r>
      <w:r>
        <w:rPr>
          <w:rFonts w:hint="eastAsia"/>
          <w:sz w:val="28"/>
        </w:rPr>
        <w:t>作者：</w:t>
      </w:r>
      <w:r>
        <w:rPr>
          <w:rFonts w:hint="eastAsia"/>
          <w:sz w:val="28"/>
        </w:rPr>
        <w:t xml:space="preserve">Hugh </w:t>
      </w:r>
      <w:proofErr w:type="spellStart"/>
      <w:proofErr w:type="gramStart"/>
      <w:r>
        <w:rPr>
          <w:rFonts w:hint="eastAsia"/>
          <w:sz w:val="28"/>
        </w:rPr>
        <w:t>D.Young</w:t>
      </w:r>
      <w:proofErr w:type="spellEnd"/>
      <w:proofErr w:type="gramEnd"/>
      <w:r>
        <w:rPr>
          <w:rFonts w:hint="eastAsia"/>
          <w:sz w:val="28"/>
        </w:rPr>
        <w:t xml:space="preserve">, Roger </w:t>
      </w:r>
      <w:proofErr w:type="spellStart"/>
      <w:r>
        <w:rPr>
          <w:rFonts w:hint="eastAsia"/>
          <w:sz w:val="28"/>
        </w:rPr>
        <w:t>A.Freedman</w:t>
      </w:r>
      <w:proofErr w:type="spellEnd"/>
    </w:p>
    <w:p w:rsidR="008E324A" w:rsidRDefault="00E825A9">
      <w:pPr>
        <w:rPr>
          <w:sz w:val="28"/>
        </w:rPr>
      </w:pPr>
      <w:r>
        <w:rPr>
          <w:rFonts w:hint="eastAsia"/>
          <w:sz w:val="28"/>
        </w:rPr>
        <w:t xml:space="preserve">　　出版单位：机械工业出版社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2010.12</w:t>
      </w:r>
      <w:r>
        <w:rPr>
          <w:rFonts w:hint="eastAsia"/>
          <w:sz w:val="28"/>
        </w:rPr>
        <w:t>（第</w:t>
      </w:r>
      <w:r>
        <w:rPr>
          <w:rFonts w:hint="eastAsia"/>
          <w:sz w:val="28"/>
        </w:rPr>
        <w:t>12</w:t>
      </w:r>
      <w:r>
        <w:rPr>
          <w:rFonts w:hint="eastAsia"/>
          <w:sz w:val="28"/>
        </w:rPr>
        <w:t>版）</w:t>
      </w:r>
    </w:p>
    <w:p w:rsidR="008E324A" w:rsidRDefault="008E324A">
      <w:pPr>
        <w:jc w:val="center"/>
        <w:rPr>
          <w:sz w:val="28"/>
        </w:rPr>
      </w:pPr>
    </w:p>
    <w:p w:rsidR="008E324A" w:rsidRDefault="00E825A9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8E324A" w:rsidRDefault="008E324A">
      <w:pPr>
        <w:rPr>
          <w:rFonts w:ascii="黑体" w:eastAsia="黑体"/>
          <w:sz w:val="24"/>
          <w:szCs w:val="24"/>
        </w:rPr>
      </w:pPr>
    </w:p>
    <w:p w:rsidR="008E324A" w:rsidRDefault="00E825A9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8E324A" w:rsidRDefault="00E825A9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8E324A" w:rsidRDefault="00E825A9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8E324A" w:rsidRDefault="00E825A9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8E324A" w:rsidRDefault="00E825A9">
      <w:pPr>
        <w:ind w:left="315" w:hangingChars="150" w:hanging="315"/>
        <w:sectPr w:rsidR="008E324A">
          <w:pgSz w:w="11907" w:h="16840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77"/>
        <w:gridCol w:w="426"/>
        <w:gridCol w:w="4486"/>
        <w:gridCol w:w="719"/>
        <w:gridCol w:w="540"/>
        <w:gridCol w:w="540"/>
        <w:gridCol w:w="540"/>
        <w:gridCol w:w="915"/>
      </w:tblGrid>
      <w:tr w:rsidR="008E324A">
        <w:trPr>
          <w:cantSplit/>
        </w:trPr>
        <w:tc>
          <w:tcPr>
            <w:tcW w:w="1434" w:type="dxa"/>
            <w:gridSpan w:val="3"/>
          </w:tcPr>
          <w:p w:rsidR="008E324A" w:rsidRDefault="00E825A9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486" w:type="dxa"/>
            <w:vMerge w:val="restart"/>
          </w:tcPr>
          <w:p w:rsidR="008E324A" w:rsidRDefault="008E324A">
            <w:pPr>
              <w:jc w:val="center"/>
              <w:rPr>
                <w:sz w:val="30"/>
              </w:rPr>
            </w:pPr>
          </w:p>
          <w:p w:rsidR="008E324A" w:rsidRDefault="00E825A9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9" w:type="dxa"/>
            <w:vMerge w:val="restart"/>
          </w:tcPr>
          <w:p w:rsidR="008E324A" w:rsidRDefault="00E825A9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8E324A" w:rsidRDefault="00E825A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8E324A" w:rsidRDefault="00E825A9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8E324A" w:rsidRDefault="008E324A">
            <w:pPr>
              <w:jc w:val="center"/>
            </w:pPr>
          </w:p>
        </w:tc>
        <w:tc>
          <w:tcPr>
            <w:tcW w:w="915" w:type="dxa"/>
            <w:vMerge w:val="restart"/>
          </w:tcPr>
          <w:p w:rsidR="008E324A" w:rsidRDefault="008E324A"/>
          <w:p w:rsidR="008E324A" w:rsidRDefault="008E324A"/>
          <w:p w:rsidR="008E324A" w:rsidRDefault="00E825A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8E324A">
        <w:trPr>
          <w:cantSplit/>
          <w:trHeight w:val="501"/>
        </w:trPr>
        <w:tc>
          <w:tcPr>
            <w:tcW w:w="531" w:type="dxa"/>
          </w:tcPr>
          <w:p w:rsidR="008E324A" w:rsidRDefault="00E825A9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8E324A" w:rsidRDefault="00E825A9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8E324A" w:rsidRDefault="00E825A9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8E324A" w:rsidRDefault="008E324A">
            <w:pPr>
              <w:spacing w:line="240" w:lineRule="atLeast"/>
            </w:pPr>
          </w:p>
        </w:tc>
        <w:tc>
          <w:tcPr>
            <w:tcW w:w="4486" w:type="dxa"/>
            <w:vMerge/>
          </w:tcPr>
          <w:p w:rsidR="008E324A" w:rsidRDefault="008E324A"/>
        </w:tc>
        <w:tc>
          <w:tcPr>
            <w:tcW w:w="719" w:type="dxa"/>
            <w:vMerge/>
          </w:tcPr>
          <w:p w:rsidR="008E324A" w:rsidRDefault="008E324A"/>
        </w:tc>
        <w:tc>
          <w:tcPr>
            <w:tcW w:w="540" w:type="dxa"/>
          </w:tcPr>
          <w:p w:rsidR="008E324A" w:rsidRDefault="00E825A9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8E324A" w:rsidRDefault="00E825A9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8E324A" w:rsidRDefault="00E825A9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8E324A" w:rsidRDefault="008E324A"/>
        </w:tc>
      </w:tr>
      <w:tr w:rsidR="008C027E">
        <w:trPr>
          <w:cantSplit/>
        </w:trPr>
        <w:tc>
          <w:tcPr>
            <w:tcW w:w="531" w:type="dxa"/>
            <w:vMerge w:val="restart"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8C027E" w:rsidRDefault="008C027E" w:rsidP="008C027E">
            <w:pPr>
              <w:spacing w:line="240" w:lineRule="atLeast"/>
            </w:pPr>
            <w:r>
              <w:rPr>
                <w:rFonts w:hint="eastAsia"/>
              </w:rPr>
              <w:t xml:space="preserve">The </w:t>
            </w:r>
            <w:proofErr w:type="gramStart"/>
            <w:r>
              <w:rPr>
                <w:rFonts w:hint="eastAsia"/>
              </w:rPr>
              <w:t>Fourth  part</w:t>
            </w:r>
            <w:proofErr w:type="gramEnd"/>
            <w:r>
              <w:rPr>
                <w:rFonts w:hint="eastAsia"/>
              </w:rPr>
              <w:t>: Optics</w:t>
            </w:r>
            <w:r>
              <w:rPr>
                <w:rFonts w:hint="eastAsia"/>
              </w:rPr>
              <w:br/>
              <w:t xml:space="preserve">Chapter 1 </w:t>
            </w:r>
            <w:r>
              <w:rPr>
                <w:rFonts w:hint="eastAsia"/>
              </w:rPr>
              <w:br/>
              <w:t>The Nature and Propagation of Light</w:t>
            </w:r>
          </w:p>
          <w:p w:rsidR="008C027E" w:rsidRDefault="008C027E" w:rsidP="00F0187A">
            <w:pPr>
              <w:pStyle w:val="a9"/>
              <w:numPr>
                <w:ilvl w:val="1"/>
                <w:numId w:val="1"/>
              </w:numPr>
              <w:spacing w:line="240" w:lineRule="atLeast"/>
              <w:ind w:firstLineChars="0"/>
            </w:pPr>
            <w:r>
              <w:rPr>
                <w:rFonts w:hint="eastAsia"/>
              </w:rPr>
              <w:t>The Nature of Light</w:t>
            </w:r>
          </w:p>
          <w:p w:rsidR="00F0187A" w:rsidRDefault="00F0187A" w:rsidP="00F0187A">
            <w:pPr>
              <w:pStyle w:val="a9"/>
              <w:numPr>
                <w:ilvl w:val="1"/>
                <w:numId w:val="1"/>
              </w:numPr>
              <w:spacing w:line="240" w:lineRule="atLeast"/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Some</w:t>
            </w:r>
            <w:r>
              <w:t xml:space="preserve"> </w:t>
            </w:r>
            <w:r>
              <w:rPr>
                <w:rFonts w:hint="eastAsia"/>
              </w:rPr>
              <w:t>concepts</w:t>
            </w:r>
            <w:r>
              <w:t xml:space="preserve"> </w:t>
            </w:r>
            <w:r>
              <w:rPr>
                <w:rFonts w:hint="eastAsia"/>
              </w:rPr>
              <w:t>of</w:t>
            </w:r>
            <w:r>
              <w:t xml:space="preserve"> </w:t>
            </w:r>
            <w:r>
              <w:rPr>
                <w:rFonts w:hint="eastAsia"/>
              </w:rPr>
              <w:t>light</w:t>
            </w:r>
            <w:r>
              <w:t xml:space="preserve"> </w:t>
            </w:r>
            <w:r>
              <w:rPr>
                <w:rFonts w:hint="eastAsia"/>
              </w:rPr>
              <w:t>propagation</w:t>
            </w:r>
          </w:p>
          <w:p w:rsidR="008C027E" w:rsidRDefault="008C027E" w:rsidP="00F1254D">
            <w:pPr>
              <w:spacing w:line="240" w:lineRule="atLeast"/>
            </w:pPr>
          </w:p>
        </w:tc>
        <w:tc>
          <w:tcPr>
            <w:tcW w:w="719" w:type="dxa"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8C027E" w:rsidRDefault="008C027E" w:rsidP="008C027E">
            <w:pPr>
              <w:spacing w:line="240" w:lineRule="atLeast"/>
            </w:pPr>
          </w:p>
        </w:tc>
        <w:tc>
          <w:tcPr>
            <w:tcW w:w="540" w:type="dxa"/>
          </w:tcPr>
          <w:p w:rsidR="008C027E" w:rsidRDefault="008C027E" w:rsidP="008C027E">
            <w:pPr>
              <w:spacing w:line="240" w:lineRule="atLeast"/>
            </w:pPr>
          </w:p>
        </w:tc>
        <w:tc>
          <w:tcPr>
            <w:tcW w:w="915" w:type="dxa"/>
          </w:tcPr>
          <w:p w:rsidR="008C027E" w:rsidRDefault="008C027E" w:rsidP="008C027E">
            <w:pPr>
              <w:spacing w:line="240" w:lineRule="atLeast"/>
            </w:pPr>
          </w:p>
        </w:tc>
      </w:tr>
      <w:tr w:rsidR="008C027E">
        <w:trPr>
          <w:cantSplit/>
        </w:trPr>
        <w:tc>
          <w:tcPr>
            <w:tcW w:w="531" w:type="dxa"/>
            <w:vMerge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043F5" w:rsidRDefault="00F043F5" w:rsidP="008C027E">
            <w:pPr>
              <w:spacing w:line="240" w:lineRule="atLeast"/>
            </w:pPr>
            <w:r>
              <w:rPr>
                <w:rFonts w:hint="eastAsia"/>
              </w:rPr>
              <w:t>1.</w:t>
            </w:r>
            <w:r>
              <w:t>3</w:t>
            </w:r>
            <w:r>
              <w:rPr>
                <w:rFonts w:hint="eastAsia"/>
              </w:rPr>
              <w:t xml:space="preserve"> Laws of reflection and refraction</w:t>
            </w:r>
            <w:r>
              <w:rPr>
                <w:rFonts w:hint="eastAsia"/>
              </w:rPr>
              <w:t xml:space="preserve"> </w:t>
            </w:r>
          </w:p>
          <w:p w:rsidR="008C027E" w:rsidRDefault="008C027E" w:rsidP="008C027E">
            <w:pPr>
              <w:spacing w:line="240" w:lineRule="atLeast"/>
            </w:pPr>
            <w:r>
              <w:rPr>
                <w:rFonts w:hint="eastAsia"/>
              </w:rPr>
              <w:t>1.</w:t>
            </w:r>
            <w:r w:rsidR="00F0187A">
              <w:t>4</w:t>
            </w:r>
            <w:r>
              <w:rPr>
                <w:rFonts w:hint="eastAsia"/>
              </w:rPr>
              <w:t>Total Internal Reflection</w:t>
            </w:r>
          </w:p>
          <w:p w:rsidR="008C027E" w:rsidRDefault="008C027E" w:rsidP="008C027E">
            <w:pPr>
              <w:spacing w:line="240" w:lineRule="atLeast"/>
              <w:rPr>
                <w:szCs w:val="22"/>
              </w:rPr>
            </w:pPr>
          </w:p>
        </w:tc>
        <w:tc>
          <w:tcPr>
            <w:tcW w:w="719" w:type="dxa"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8C027E" w:rsidRDefault="008C027E" w:rsidP="008C027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8C027E" w:rsidRDefault="008C027E" w:rsidP="008C027E">
            <w:pPr>
              <w:spacing w:line="240" w:lineRule="atLeast"/>
            </w:pPr>
          </w:p>
        </w:tc>
        <w:tc>
          <w:tcPr>
            <w:tcW w:w="540" w:type="dxa"/>
          </w:tcPr>
          <w:p w:rsidR="008C027E" w:rsidRDefault="008C027E" w:rsidP="008C027E">
            <w:pPr>
              <w:spacing w:line="240" w:lineRule="atLeast"/>
            </w:pPr>
          </w:p>
        </w:tc>
        <w:tc>
          <w:tcPr>
            <w:tcW w:w="915" w:type="dxa"/>
          </w:tcPr>
          <w:p w:rsidR="008C027E" w:rsidRDefault="008C027E" w:rsidP="008C027E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043F5" w:rsidRDefault="00F043F5" w:rsidP="00F043F5">
            <w:pPr>
              <w:spacing w:line="240" w:lineRule="atLeast"/>
              <w:rPr>
                <w:rFonts w:hint="eastAsia"/>
                <w:szCs w:val="22"/>
              </w:rPr>
            </w:pPr>
            <w:r>
              <w:rPr>
                <w:rFonts w:hint="eastAsia"/>
              </w:rPr>
              <w:t>1.</w:t>
            </w:r>
            <w:r>
              <w:t>5</w:t>
            </w:r>
            <w:r>
              <w:rPr>
                <w:rFonts w:hint="eastAsia"/>
              </w:rPr>
              <w:t xml:space="preserve"> Huygens</w:t>
            </w:r>
            <w:r>
              <w:t>’</w:t>
            </w:r>
            <w:r>
              <w:rPr>
                <w:rFonts w:hint="eastAsia"/>
              </w:rPr>
              <w:t>s Principle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Chapter </w:t>
            </w:r>
            <w:r>
              <w:rPr>
                <w:szCs w:val="22"/>
              </w:rPr>
              <w:t>2</w:t>
            </w:r>
            <w:r>
              <w:rPr>
                <w:rFonts w:hint="eastAsia"/>
                <w:szCs w:val="22"/>
              </w:rPr>
              <w:t xml:space="preserve"> Polarization of Light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szCs w:val="22"/>
              </w:rPr>
              <w:t>2</w:t>
            </w:r>
            <w:r>
              <w:rPr>
                <w:rFonts w:hint="eastAsia"/>
                <w:szCs w:val="22"/>
              </w:rPr>
              <w:t>.1 Phenomenon of Polarization of Light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/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r>
              <w:rPr>
                <w:szCs w:val="22"/>
              </w:rPr>
              <w:t>2</w:t>
            </w:r>
            <w:r>
              <w:rPr>
                <w:rFonts w:hint="eastAsia"/>
                <w:szCs w:val="22"/>
              </w:rPr>
              <w:t xml:space="preserve">.2 malus law 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szCs w:val="22"/>
              </w:rPr>
              <w:t>2</w:t>
            </w:r>
            <w:r>
              <w:rPr>
                <w:rFonts w:hint="eastAsia"/>
                <w:szCs w:val="22"/>
              </w:rPr>
              <w:t>.3 Brewster's law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Chapter 2 Interference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szCs w:val="22"/>
              </w:rPr>
              <w:t>3</w:t>
            </w:r>
            <w:r>
              <w:rPr>
                <w:rFonts w:hint="eastAsia"/>
                <w:szCs w:val="22"/>
              </w:rPr>
              <w:t xml:space="preserve">.1 </w:t>
            </w:r>
            <w:r>
              <w:rPr>
                <w:szCs w:val="22"/>
              </w:rPr>
              <w:t>Superposition principle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szCs w:val="22"/>
              </w:rPr>
              <w:t>3</w:t>
            </w:r>
            <w:r>
              <w:rPr>
                <w:rFonts w:hint="eastAsia"/>
                <w:szCs w:val="22"/>
              </w:rPr>
              <w:t>.2Coherent Light Source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szCs w:val="22"/>
              </w:rPr>
              <w:t>3</w:t>
            </w:r>
            <w:r>
              <w:rPr>
                <w:rFonts w:hint="eastAsia"/>
                <w:szCs w:val="22"/>
              </w:rPr>
              <w:t>.3</w:t>
            </w:r>
            <w:r>
              <w:rPr>
                <w:szCs w:val="22"/>
              </w:rPr>
              <w:t>Two-source interference of light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2.4  Optical</w:t>
            </w:r>
            <w:proofErr w:type="gramEnd"/>
            <w:r>
              <w:rPr>
                <w:rFonts w:hint="eastAsia"/>
                <w:szCs w:val="22"/>
              </w:rPr>
              <w:t xml:space="preserve"> path and optical path difference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E550AE" w:rsidP="00F1254D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2.5 </w:t>
            </w:r>
            <w:r>
              <w:rPr>
                <w:szCs w:val="22"/>
              </w:rPr>
              <w:t>Interference in Thin films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E550AE" w:rsidP="00F1254D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color w:val="0000FF"/>
                <w:szCs w:val="22"/>
              </w:rPr>
              <w:t>Summary and Exercises</w:t>
            </w:r>
            <w:r>
              <w:rPr>
                <w:rFonts w:hint="eastAsia"/>
                <w:color w:val="0000FF"/>
                <w:szCs w:val="22"/>
              </w:rPr>
              <w:t>，</w:t>
            </w:r>
            <w:r>
              <w:rPr>
                <w:rFonts w:hint="eastAsia"/>
                <w:color w:val="0000FF"/>
                <w:szCs w:val="22"/>
              </w:rPr>
              <w:t>quiz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Chapter 3 Diffraction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3.1Fresnel and Fraunhofer diffraction</w:t>
            </w:r>
          </w:p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3.2 A single-slit Fraunhofer diffraction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E550AE" w:rsidP="00F1254D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3.2 A single-slit Fraunhofer diffraction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/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3.3 Grating diffraction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E550AE" w:rsidP="00F1254D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3.3 Grating diffraction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3.4 X-ray diffraction</w:t>
            </w:r>
          </w:p>
        </w:tc>
        <w:tc>
          <w:tcPr>
            <w:tcW w:w="719" w:type="dxa"/>
            <w:vAlign w:val="center"/>
          </w:tcPr>
          <w:p w:rsidR="00F1254D" w:rsidRDefault="00D93819" w:rsidP="00F1254D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F1254D" w:rsidRDefault="00D93819" w:rsidP="00F1254D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E550AE" w:rsidP="00F1254D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3.5 Circular apertures and resolving power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spacing w:line="240" w:lineRule="atLeast"/>
            </w:pPr>
            <w:r>
              <w:rPr>
                <w:rFonts w:hint="eastAsia"/>
                <w:color w:val="0000FF"/>
              </w:rPr>
              <w:t>Summary and Exercises</w:t>
            </w:r>
            <w:r>
              <w:rPr>
                <w:rFonts w:hint="eastAsia"/>
                <w:color w:val="0000FF"/>
                <w:szCs w:val="22"/>
              </w:rPr>
              <w:t>,</w:t>
            </w:r>
            <w:r w:rsidR="00F043F5">
              <w:rPr>
                <w:color w:val="0000FF"/>
                <w:szCs w:val="22"/>
              </w:rPr>
              <w:t xml:space="preserve"> </w:t>
            </w:r>
            <w:r w:rsidR="00F043F5">
              <w:rPr>
                <w:rFonts w:hint="eastAsia"/>
                <w:color w:val="0000FF"/>
                <w:szCs w:val="22"/>
              </w:rPr>
              <w:t>quiz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E550AE">
              <w:t>0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The Third Part Thermodynamics</w:t>
            </w:r>
          </w:p>
          <w:p w:rsidR="00F1254D" w:rsidRDefault="00F1254D" w:rsidP="00F1254D">
            <w:pPr>
              <w:pStyle w:val="a8"/>
              <w:widowControl/>
              <w:spacing w:beforeAutospacing="0" w:afterAutospacing="0"/>
              <w:textAlignment w:val="baseline"/>
              <w:rPr>
                <w:b/>
                <w:bCs/>
                <w:kern w:val="2"/>
                <w:sz w:val="21"/>
                <w:szCs w:val="22"/>
              </w:rPr>
            </w:pP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 xml:space="preserve">Chapter 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>Temperature and Heat</w:t>
            </w:r>
          </w:p>
          <w:p w:rsidR="00F1254D" w:rsidRDefault="00F1254D" w:rsidP="00F1254D">
            <w:pPr>
              <w:pStyle w:val="a8"/>
              <w:widowControl/>
              <w:spacing w:beforeAutospacing="0" w:afterAutospacing="0"/>
              <w:textAlignment w:val="baseline"/>
              <w:rPr>
                <w:b/>
                <w:bCs/>
                <w:kern w:val="2"/>
                <w:sz w:val="21"/>
                <w:szCs w:val="22"/>
              </w:rPr>
            </w:pP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>1.1Temperature and Thermal equilibrium</w:t>
            </w:r>
          </w:p>
          <w:p w:rsidR="00F1254D" w:rsidRDefault="00F1254D" w:rsidP="00E825A9">
            <w:pPr>
              <w:pStyle w:val="a8"/>
              <w:widowControl/>
              <w:spacing w:beforeAutospacing="0" w:afterAutospacing="0"/>
              <w:textAlignment w:val="baseline"/>
            </w:pP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>1.2Thermometers and Temperature Scales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F1254D" w:rsidP="00F1254D">
            <w:pPr>
              <w:pStyle w:val="a8"/>
              <w:widowControl/>
              <w:spacing w:beforeAutospacing="0" w:afterAutospacing="0"/>
              <w:textAlignment w:val="baseline"/>
              <w:rPr>
                <w:rFonts w:ascii="Calibri Light" w:hAnsi="Calibri Light" w:cs="mj-cs"/>
                <w:color w:val="000000"/>
                <w:kern w:val="24"/>
                <w:sz w:val="80"/>
                <w:szCs w:val="80"/>
              </w:rPr>
            </w:pP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 xml:space="preserve">1.3 </w:t>
            </w:r>
            <w:r w:rsidR="00E825A9">
              <w:rPr>
                <w:rFonts w:hint="eastAsia"/>
                <w:b/>
                <w:bCs/>
                <w:kern w:val="2"/>
                <w:sz w:val="21"/>
                <w:szCs w:val="22"/>
              </w:rPr>
              <w:t xml:space="preserve">Quantity of </w:t>
            </w:r>
            <w:r w:rsidR="00E825A9">
              <w:rPr>
                <w:b/>
                <w:bCs/>
                <w:kern w:val="2"/>
                <w:sz w:val="21"/>
                <w:szCs w:val="22"/>
              </w:rPr>
              <w:t>Heat and heat capacity</w:t>
            </w:r>
            <w:r w:rsidR="00E825A9">
              <w:rPr>
                <w:rFonts w:hint="eastAsia"/>
                <w:b/>
                <w:bCs/>
                <w:kern w:val="2"/>
                <w:sz w:val="21"/>
                <w:szCs w:val="22"/>
              </w:rPr>
              <w:t xml:space="preserve"> 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 w:val="restart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E550AE">
              <w:t>1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E825A9" w:rsidRDefault="00E825A9" w:rsidP="00E825A9">
            <w:pPr>
              <w:pStyle w:val="a8"/>
              <w:widowControl/>
              <w:spacing w:beforeAutospacing="0" w:afterAutospacing="0"/>
              <w:textAlignment w:val="baseline"/>
              <w:rPr>
                <w:b/>
                <w:bCs/>
                <w:kern w:val="2"/>
                <w:sz w:val="21"/>
                <w:szCs w:val="22"/>
              </w:rPr>
            </w:pP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>Chapter 2</w:t>
            </w:r>
            <w:r>
              <w:rPr>
                <w:b/>
                <w:bCs/>
                <w:kern w:val="2"/>
                <w:sz w:val="21"/>
                <w:szCs w:val="22"/>
              </w:rPr>
              <w:br/>
              <w:t>Thermal Properties of Matter</w:t>
            </w:r>
          </w:p>
          <w:p w:rsidR="00F1254D" w:rsidRDefault="00E825A9" w:rsidP="00E825A9">
            <w:pPr>
              <w:pStyle w:val="a8"/>
              <w:widowControl/>
              <w:spacing w:beforeAutospacing="0" w:afterAutospacing="0"/>
              <w:textAlignment w:val="baseline"/>
              <w:rPr>
                <w:color w:val="0000FF"/>
              </w:rPr>
            </w:pPr>
            <w:r>
              <w:rPr>
                <w:b/>
                <w:bCs/>
                <w:kern w:val="2"/>
                <w:sz w:val="21"/>
                <w:szCs w:val="22"/>
              </w:rPr>
              <w:t xml:space="preserve">2.1Equations of </w:t>
            </w: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>S</w:t>
            </w:r>
            <w:r>
              <w:rPr>
                <w:b/>
                <w:bCs/>
                <w:kern w:val="2"/>
                <w:sz w:val="21"/>
                <w:szCs w:val="22"/>
              </w:rPr>
              <w:t>tate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 w:rsidTr="00D93819">
        <w:trPr>
          <w:cantSplit/>
          <w:trHeight w:val="313"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E825A9" w:rsidP="00E825A9">
            <w:pPr>
              <w:pStyle w:val="a8"/>
              <w:widowControl/>
              <w:spacing w:beforeAutospacing="0" w:afterAutospacing="0"/>
              <w:textAlignment w:val="baseline"/>
              <w:rPr>
                <w:rFonts w:cs="mj-cs"/>
                <w:color w:val="000000"/>
                <w:kern w:val="24"/>
                <w:sz w:val="88"/>
                <w:szCs w:val="88"/>
              </w:rPr>
            </w:pPr>
            <w:r>
              <w:rPr>
                <w:b/>
                <w:bCs/>
                <w:kern w:val="2"/>
                <w:sz w:val="21"/>
                <w:szCs w:val="22"/>
              </w:rPr>
              <w:t xml:space="preserve">2.2Molecular </w:t>
            </w: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>P</w:t>
            </w:r>
            <w:r>
              <w:rPr>
                <w:b/>
                <w:bCs/>
                <w:kern w:val="2"/>
                <w:sz w:val="21"/>
                <w:szCs w:val="22"/>
              </w:rPr>
              <w:t xml:space="preserve">roperties of </w:t>
            </w: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>M</w:t>
            </w:r>
            <w:r>
              <w:rPr>
                <w:b/>
                <w:bCs/>
                <w:kern w:val="2"/>
                <w:sz w:val="21"/>
                <w:szCs w:val="22"/>
              </w:rPr>
              <w:t>atter</w:t>
            </w:r>
          </w:p>
        </w:tc>
        <w:tc>
          <w:tcPr>
            <w:tcW w:w="719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  <w:trHeight w:val="291"/>
        </w:trPr>
        <w:tc>
          <w:tcPr>
            <w:tcW w:w="531" w:type="dxa"/>
            <w:vMerge w:val="restart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E550AE">
              <w:t>2</w:t>
            </w: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E825A9" w:rsidP="00E825A9">
            <w:pPr>
              <w:pStyle w:val="a8"/>
              <w:widowControl/>
              <w:spacing w:beforeAutospacing="0" w:afterAutospacing="0"/>
              <w:textAlignment w:val="baseline"/>
            </w:pPr>
            <w:r>
              <w:rPr>
                <w:rFonts w:hint="eastAsia"/>
                <w:b/>
                <w:bCs/>
                <w:kern w:val="2"/>
                <w:sz w:val="21"/>
                <w:szCs w:val="22"/>
              </w:rPr>
              <w:t>2.3Kinetic-Molecular Model of an Ideal Gas</w:t>
            </w:r>
          </w:p>
        </w:tc>
        <w:tc>
          <w:tcPr>
            <w:tcW w:w="719" w:type="dxa"/>
            <w:vAlign w:val="center"/>
          </w:tcPr>
          <w:p w:rsidR="00F1254D" w:rsidRDefault="00D93819" w:rsidP="00F1254D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F1254D" w:rsidRDefault="00D93819" w:rsidP="00F1254D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F1254D">
        <w:trPr>
          <w:cantSplit/>
        </w:trPr>
        <w:tc>
          <w:tcPr>
            <w:tcW w:w="531" w:type="dxa"/>
            <w:vMerge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F1254D" w:rsidRDefault="00F1254D" w:rsidP="00F1254D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F1254D" w:rsidRDefault="00E825A9" w:rsidP="00E825A9">
            <w:pPr>
              <w:spacing w:line="240" w:lineRule="atLeast"/>
              <w:rPr>
                <w:rFonts w:cs="mj-cs"/>
                <w:color w:val="000000"/>
                <w:sz w:val="88"/>
                <w:szCs w:val="88"/>
              </w:rPr>
            </w:pPr>
            <w:r>
              <w:rPr>
                <w:rFonts w:hint="eastAsia"/>
                <w:b/>
                <w:bCs/>
                <w:szCs w:val="22"/>
              </w:rPr>
              <w:t>2</w:t>
            </w:r>
            <w:r>
              <w:rPr>
                <w:b/>
                <w:bCs/>
                <w:szCs w:val="22"/>
              </w:rPr>
              <w:t xml:space="preserve">.4 The </w:t>
            </w:r>
            <w:r>
              <w:rPr>
                <w:rFonts w:hint="eastAsia"/>
                <w:b/>
                <w:bCs/>
                <w:szCs w:val="22"/>
              </w:rPr>
              <w:t>E</w:t>
            </w:r>
            <w:r>
              <w:rPr>
                <w:b/>
                <w:bCs/>
                <w:szCs w:val="22"/>
              </w:rPr>
              <w:t>quipartition</w:t>
            </w:r>
            <w:r>
              <w:rPr>
                <w:rFonts w:ascii="Arial" w:hAnsi="Arial" w:cs="Arial" w:hint="eastAsia"/>
                <w:color w:val="333333"/>
                <w:sz w:val="36"/>
                <w:szCs w:val="36"/>
                <w:shd w:val="clear" w:color="auto" w:fill="FFFFFF"/>
              </w:rPr>
              <w:t xml:space="preserve"> </w:t>
            </w:r>
            <w:r>
              <w:rPr>
                <w:b/>
                <w:bCs/>
                <w:szCs w:val="22"/>
              </w:rPr>
              <w:t>Theorem and Internal Energy</w:t>
            </w:r>
          </w:p>
        </w:tc>
        <w:tc>
          <w:tcPr>
            <w:tcW w:w="719" w:type="dxa"/>
            <w:vAlign w:val="center"/>
          </w:tcPr>
          <w:p w:rsidR="00F1254D" w:rsidRDefault="00D93819" w:rsidP="00F1254D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F1254D" w:rsidRDefault="00D93819" w:rsidP="00F1254D">
            <w:pPr>
              <w:spacing w:line="240" w:lineRule="atLeast"/>
              <w:jc w:val="center"/>
            </w:pPr>
            <w:r>
              <w:t>3</w:t>
            </w:r>
            <w:bookmarkStart w:id="0" w:name="_GoBack"/>
            <w:bookmarkEnd w:id="0"/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540" w:type="dxa"/>
          </w:tcPr>
          <w:p w:rsidR="00F1254D" w:rsidRDefault="00F1254D" w:rsidP="00F1254D">
            <w:pPr>
              <w:spacing w:line="240" w:lineRule="atLeast"/>
            </w:pPr>
          </w:p>
        </w:tc>
        <w:tc>
          <w:tcPr>
            <w:tcW w:w="915" w:type="dxa"/>
          </w:tcPr>
          <w:p w:rsidR="00F1254D" w:rsidRDefault="00F1254D" w:rsidP="00F1254D">
            <w:pPr>
              <w:spacing w:line="240" w:lineRule="atLeast"/>
            </w:pPr>
          </w:p>
        </w:tc>
      </w:tr>
      <w:tr w:rsidR="00E825A9">
        <w:trPr>
          <w:cantSplit/>
        </w:trPr>
        <w:tc>
          <w:tcPr>
            <w:tcW w:w="531" w:type="dxa"/>
            <w:vMerge w:val="restart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E550AE">
              <w:t>3</w:t>
            </w:r>
          </w:p>
        </w:tc>
        <w:tc>
          <w:tcPr>
            <w:tcW w:w="477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rFonts w:hint="eastAsia"/>
                <w:color w:val="0000FF"/>
                <w:szCs w:val="22"/>
              </w:rPr>
              <w:t>Summary and Exercise</w:t>
            </w:r>
            <w:r>
              <w:rPr>
                <w:rFonts w:hint="eastAsia"/>
                <w:color w:val="0000FF"/>
                <w:szCs w:val="22"/>
              </w:rPr>
              <w:t>，</w:t>
            </w:r>
            <w:r>
              <w:rPr>
                <w:rFonts w:hint="eastAsia"/>
                <w:color w:val="0000FF"/>
                <w:szCs w:val="22"/>
              </w:rPr>
              <w:t>quiz</w:t>
            </w:r>
          </w:p>
        </w:tc>
        <w:tc>
          <w:tcPr>
            <w:tcW w:w="719" w:type="dxa"/>
            <w:vAlign w:val="center"/>
          </w:tcPr>
          <w:p w:rsidR="00E825A9" w:rsidRDefault="00D93819" w:rsidP="00E825A9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E825A9" w:rsidRDefault="00D93819" w:rsidP="00E825A9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915" w:type="dxa"/>
          </w:tcPr>
          <w:p w:rsidR="00E825A9" w:rsidRDefault="00E825A9" w:rsidP="00E825A9">
            <w:pPr>
              <w:spacing w:line="240" w:lineRule="atLeast"/>
            </w:pPr>
          </w:p>
        </w:tc>
      </w:tr>
      <w:tr w:rsidR="00E825A9">
        <w:trPr>
          <w:cantSplit/>
        </w:trPr>
        <w:tc>
          <w:tcPr>
            <w:tcW w:w="531" w:type="dxa"/>
            <w:vMerge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Chapter 3 The First Law of Thermodynamics</w:t>
            </w:r>
          </w:p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3.1 </w:t>
            </w:r>
            <w:r>
              <w:rPr>
                <w:rFonts w:hint="eastAsia"/>
                <w:b/>
                <w:bCs/>
                <w:szCs w:val="22"/>
              </w:rPr>
              <w:t>T</w:t>
            </w:r>
            <w:r>
              <w:rPr>
                <w:b/>
                <w:bCs/>
                <w:szCs w:val="22"/>
              </w:rPr>
              <w:t>he First Law of Thermodynamics</w:t>
            </w:r>
          </w:p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3.2 The Application of the First Law of Thermodynamics</w:t>
            </w:r>
          </w:p>
        </w:tc>
        <w:tc>
          <w:tcPr>
            <w:tcW w:w="719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915" w:type="dxa"/>
          </w:tcPr>
          <w:p w:rsidR="00E825A9" w:rsidRDefault="00E825A9" w:rsidP="00E825A9"/>
        </w:tc>
      </w:tr>
      <w:tr w:rsidR="00E825A9">
        <w:trPr>
          <w:cantSplit/>
        </w:trPr>
        <w:tc>
          <w:tcPr>
            <w:tcW w:w="531" w:type="dxa"/>
            <w:vMerge w:val="restart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E550AE">
              <w:t>4</w:t>
            </w:r>
          </w:p>
        </w:tc>
        <w:tc>
          <w:tcPr>
            <w:tcW w:w="477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E825A9" w:rsidRP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3.2 The Application of the First Law of Thermodynamics</w:t>
            </w:r>
          </w:p>
        </w:tc>
        <w:tc>
          <w:tcPr>
            <w:tcW w:w="719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915" w:type="dxa"/>
          </w:tcPr>
          <w:p w:rsidR="00E825A9" w:rsidRDefault="00E825A9" w:rsidP="00E825A9">
            <w:pPr>
              <w:spacing w:line="240" w:lineRule="atLeast"/>
            </w:pPr>
          </w:p>
        </w:tc>
      </w:tr>
      <w:tr w:rsidR="00E825A9">
        <w:trPr>
          <w:cantSplit/>
        </w:trPr>
        <w:tc>
          <w:tcPr>
            <w:tcW w:w="531" w:type="dxa"/>
            <w:vMerge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3.3   Adiabatic Process</w:t>
            </w:r>
          </w:p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</w:p>
        </w:tc>
        <w:tc>
          <w:tcPr>
            <w:tcW w:w="719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915" w:type="dxa"/>
          </w:tcPr>
          <w:p w:rsidR="00E825A9" w:rsidRDefault="00E825A9" w:rsidP="00E825A9">
            <w:pPr>
              <w:spacing w:line="240" w:lineRule="atLeast"/>
            </w:pPr>
          </w:p>
        </w:tc>
      </w:tr>
      <w:tr w:rsidR="00E825A9">
        <w:trPr>
          <w:cantSplit/>
        </w:trPr>
        <w:tc>
          <w:tcPr>
            <w:tcW w:w="531" w:type="dxa"/>
            <w:vMerge w:val="restart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E550AE">
              <w:t>5</w:t>
            </w:r>
          </w:p>
        </w:tc>
        <w:tc>
          <w:tcPr>
            <w:tcW w:w="477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3.4 The Cyclic Process and The Carnot cycle</w:t>
            </w:r>
          </w:p>
          <w:p w:rsidR="00E825A9" w:rsidRDefault="00E825A9" w:rsidP="00E825A9">
            <w:pPr>
              <w:spacing w:line="240" w:lineRule="atLeast"/>
              <w:rPr>
                <w:color w:val="FF0000"/>
              </w:rPr>
            </w:pPr>
          </w:p>
        </w:tc>
        <w:tc>
          <w:tcPr>
            <w:tcW w:w="719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915" w:type="dxa"/>
          </w:tcPr>
          <w:p w:rsidR="00E825A9" w:rsidRDefault="00E825A9" w:rsidP="00E825A9">
            <w:pPr>
              <w:spacing w:line="240" w:lineRule="atLeast"/>
            </w:pPr>
          </w:p>
        </w:tc>
      </w:tr>
      <w:tr w:rsidR="00E825A9">
        <w:trPr>
          <w:cantSplit/>
        </w:trPr>
        <w:tc>
          <w:tcPr>
            <w:tcW w:w="531" w:type="dxa"/>
            <w:vMerge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Chapter 4 The Second Law of thermodynamics</w:t>
            </w:r>
          </w:p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4.1Reversible and Irreversible Process</w:t>
            </w:r>
          </w:p>
          <w:p w:rsidR="00E825A9" w:rsidRDefault="00E825A9" w:rsidP="00E825A9">
            <w:pPr>
              <w:spacing w:line="240" w:lineRule="atLeas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4.2 Kelvin-Plank Statement and Clausius Statement of the Second Law of Thermodynamic</w:t>
            </w:r>
          </w:p>
          <w:p w:rsidR="00E825A9" w:rsidRDefault="00E825A9" w:rsidP="00E825A9"/>
        </w:tc>
        <w:tc>
          <w:tcPr>
            <w:tcW w:w="719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915" w:type="dxa"/>
          </w:tcPr>
          <w:p w:rsidR="00E825A9" w:rsidRDefault="00E825A9" w:rsidP="00E825A9">
            <w:pPr>
              <w:spacing w:line="240" w:lineRule="atLeast"/>
            </w:pPr>
          </w:p>
        </w:tc>
      </w:tr>
      <w:tr w:rsidR="00E825A9">
        <w:trPr>
          <w:cantSplit/>
        </w:trPr>
        <w:tc>
          <w:tcPr>
            <w:tcW w:w="531" w:type="dxa"/>
            <w:vMerge w:val="restart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E550AE">
              <w:t>6</w:t>
            </w:r>
          </w:p>
        </w:tc>
        <w:tc>
          <w:tcPr>
            <w:tcW w:w="477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E825A9" w:rsidRDefault="00E825A9" w:rsidP="00E825A9">
            <w:pPr>
              <w:spacing w:line="240" w:lineRule="atLeast"/>
            </w:pPr>
            <w:r>
              <w:rPr>
                <w:b/>
                <w:bCs/>
                <w:szCs w:val="22"/>
              </w:rPr>
              <w:t>4.3 Statistical Interpretation of Entropy and the Second Law</w:t>
            </w:r>
          </w:p>
        </w:tc>
        <w:tc>
          <w:tcPr>
            <w:tcW w:w="719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915" w:type="dxa"/>
          </w:tcPr>
          <w:p w:rsidR="00E825A9" w:rsidRDefault="00E825A9" w:rsidP="00E825A9">
            <w:pPr>
              <w:spacing w:line="240" w:lineRule="atLeast"/>
            </w:pPr>
          </w:p>
        </w:tc>
      </w:tr>
      <w:tr w:rsidR="00E825A9">
        <w:trPr>
          <w:cantSplit/>
          <w:trHeight w:val="259"/>
        </w:trPr>
        <w:tc>
          <w:tcPr>
            <w:tcW w:w="531" w:type="dxa"/>
            <w:vMerge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E825A9" w:rsidRDefault="00E825A9" w:rsidP="00E825A9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E825A9" w:rsidRDefault="00E825A9" w:rsidP="00E825A9">
            <w:pPr>
              <w:spacing w:line="240" w:lineRule="atLeast"/>
            </w:pPr>
            <w:r>
              <w:rPr>
                <w:rFonts w:hint="eastAsia"/>
                <w:color w:val="0000FF"/>
                <w:szCs w:val="22"/>
              </w:rPr>
              <w:t>Summary and Exercise</w:t>
            </w:r>
            <w:r w:rsidR="00471C9F">
              <w:rPr>
                <w:rFonts w:hint="eastAsia"/>
                <w:color w:val="0000FF"/>
                <w:szCs w:val="22"/>
              </w:rPr>
              <w:t>，</w:t>
            </w:r>
            <w:r w:rsidR="00471C9F">
              <w:rPr>
                <w:rFonts w:hint="eastAsia"/>
                <w:color w:val="0000FF"/>
                <w:szCs w:val="22"/>
              </w:rPr>
              <w:t>quiz</w:t>
            </w:r>
          </w:p>
        </w:tc>
        <w:tc>
          <w:tcPr>
            <w:tcW w:w="719" w:type="dxa"/>
            <w:vAlign w:val="center"/>
          </w:tcPr>
          <w:p w:rsidR="00E825A9" w:rsidRDefault="00D93819" w:rsidP="00E825A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E825A9" w:rsidRDefault="00D93819" w:rsidP="00E825A9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540" w:type="dxa"/>
          </w:tcPr>
          <w:p w:rsidR="00E825A9" w:rsidRDefault="00E825A9" w:rsidP="00E825A9">
            <w:pPr>
              <w:spacing w:line="240" w:lineRule="atLeast"/>
            </w:pPr>
          </w:p>
        </w:tc>
        <w:tc>
          <w:tcPr>
            <w:tcW w:w="915" w:type="dxa"/>
          </w:tcPr>
          <w:p w:rsidR="00E825A9" w:rsidRDefault="00E825A9" w:rsidP="00E825A9">
            <w:pPr>
              <w:spacing w:line="240" w:lineRule="atLeast"/>
            </w:pPr>
          </w:p>
        </w:tc>
      </w:tr>
    </w:tbl>
    <w:p w:rsidR="008E324A" w:rsidRDefault="008E324A"/>
    <w:p w:rsidR="008E324A" w:rsidRDefault="008E324A"/>
    <w:sectPr w:rsidR="008E324A">
      <w:pgSz w:w="11907" w:h="16840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2FB" w:rsidRDefault="000132FB" w:rsidP="00F0187A">
      <w:r>
        <w:separator/>
      </w:r>
    </w:p>
  </w:endnote>
  <w:endnote w:type="continuationSeparator" w:id="0">
    <w:p w:rsidR="000132FB" w:rsidRDefault="000132FB" w:rsidP="00F0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j-cs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2FB" w:rsidRDefault="000132FB" w:rsidP="00F0187A">
      <w:r>
        <w:separator/>
      </w:r>
    </w:p>
  </w:footnote>
  <w:footnote w:type="continuationSeparator" w:id="0">
    <w:p w:rsidR="000132FB" w:rsidRDefault="000132FB" w:rsidP="00F01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7217A"/>
    <w:multiLevelType w:val="multilevel"/>
    <w:tmpl w:val="038C52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B51"/>
    <w:rsid w:val="00012AE5"/>
    <w:rsid w:val="000132FB"/>
    <w:rsid w:val="00062724"/>
    <w:rsid w:val="00074327"/>
    <w:rsid w:val="00081429"/>
    <w:rsid w:val="000B212B"/>
    <w:rsid w:val="000D1672"/>
    <w:rsid w:val="000F0A56"/>
    <w:rsid w:val="001220C2"/>
    <w:rsid w:val="00153F2F"/>
    <w:rsid w:val="00186A2B"/>
    <w:rsid w:val="001A322D"/>
    <w:rsid w:val="001F2F92"/>
    <w:rsid w:val="00212299"/>
    <w:rsid w:val="0022707C"/>
    <w:rsid w:val="00230432"/>
    <w:rsid w:val="00275B3C"/>
    <w:rsid w:val="0028206B"/>
    <w:rsid w:val="002F559E"/>
    <w:rsid w:val="002F7C17"/>
    <w:rsid w:val="00321D5A"/>
    <w:rsid w:val="00347414"/>
    <w:rsid w:val="003B463B"/>
    <w:rsid w:val="00411226"/>
    <w:rsid w:val="00412104"/>
    <w:rsid w:val="00471C9F"/>
    <w:rsid w:val="0049059D"/>
    <w:rsid w:val="004A7B7D"/>
    <w:rsid w:val="004B71EA"/>
    <w:rsid w:val="004C1899"/>
    <w:rsid w:val="004D079F"/>
    <w:rsid w:val="004E19F8"/>
    <w:rsid w:val="00516EAC"/>
    <w:rsid w:val="0052023C"/>
    <w:rsid w:val="0054141C"/>
    <w:rsid w:val="00582E7E"/>
    <w:rsid w:val="005B5333"/>
    <w:rsid w:val="005C0DA2"/>
    <w:rsid w:val="005D00ED"/>
    <w:rsid w:val="0060351C"/>
    <w:rsid w:val="00625F45"/>
    <w:rsid w:val="00674DC9"/>
    <w:rsid w:val="006829B1"/>
    <w:rsid w:val="006A49DD"/>
    <w:rsid w:val="006D01CD"/>
    <w:rsid w:val="006D19F2"/>
    <w:rsid w:val="006D55C8"/>
    <w:rsid w:val="0071121D"/>
    <w:rsid w:val="00717208"/>
    <w:rsid w:val="00722751"/>
    <w:rsid w:val="00741D1C"/>
    <w:rsid w:val="00745E20"/>
    <w:rsid w:val="00780A85"/>
    <w:rsid w:val="007B13E7"/>
    <w:rsid w:val="007C1A82"/>
    <w:rsid w:val="007D2A1E"/>
    <w:rsid w:val="007F7982"/>
    <w:rsid w:val="0085655A"/>
    <w:rsid w:val="00877620"/>
    <w:rsid w:val="0088796F"/>
    <w:rsid w:val="008C027E"/>
    <w:rsid w:val="008E324A"/>
    <w:rsid w:val="0092741E"/>
    <w:rsid w:val="0093115A"/>
    <w:rsid w:val="009653F0"/>
    <w:rsid w:val="00966CC4"/>
    <w:rsid w:val="0097696A"/>
    <w:rsid w:val="009877B1"/>
    <w:rsid w:val="009D23B2"/>
    <w:rsid w:val="00A014ED"/>
    <w:rsid w:val="00A749AA"/>
    <w:rsid w:val="00A97318"/>
    <w:rsid w:val="00AE6318"/>
    <w:rsid w:val="00B24B05"/>
    <w:rsid w:val="00B341A5"/>
    <w:rsid w:val="00B40CA5"/>
    <w:rsid w:val="00BA4A17"/>
    <w:rsid w:val="00BC6262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5316"/>
    <w:rsid w:val="00CF7F3F"/>
    <w:rsid w:val="00D26045"/>
    <w:rsid w:val="00D93819"/>
    <w:rsid w:val="00DA34EF"/>
    <w:rsid w:val="00DD5763"/>
    <w:rsid w:val="00E035BC"/>
    <w:rsid w:val="00E302CB"/>
    <w:rsid w:val="00E52267"/>
    <w:rsid w:val="00E550AE"/>
    <w:rsid w:val="00E61811"/>
    <w:rsid w:val="00E825A9"/>
    <w:rsid w:val="00EA0C0B"/>
    <w:rsid w:val="00EA2541"/>
    <w:rsid w:val="00EC5AB0"/>
    <w:rsid w:val="00EF1119"/>
    <w:rsid w:val="00F0187A"/>
    <w:rsid w:val="00F043F5"/>
    <w:rsid w:val="00F1254D"/>
    <w:rsid w:val="00F15F27"/>
    <w:rsid w:val="00F412C6"/>
    <w:rsid w:val="00F445BB"/>
    <w:rsid w:val="00F723FF"/>
    <w:rsid w:val="00F8728D"/>
    <w:rsid w:val="00FC1F81"/>
    <w:rsid w:val="00FC7B51"/>
    <w:rsid w:val="04860AD9"/>
    <w:rsid w:val="0A555E07"/>
    <w:rsid w:val="0B585E49"/>
    <w:rsid w:val="0E8E4D5A"/>
    <w:rsid w:val="0EAA0A7C"/>
    <w:rsid w:val="14405995"/>
    <w:rsid w:val="24B85CC0"/>
    <w:rsid w:val="25751895"/>
    <w:rsid w:val="25A4638E"/>
    <w:rsid w:val="2717045C"/>
    <w:rsid w:val="35F82B7F"/>
    <w:rsid w:val="425C46E8"/>
    <w:rsid w:val="515842E7"/>
    <w:rsid w:val="59494F18"/>
    <w:rsid w:val="601C4734"/>
    <w:rsid w:val="6AD33F31"/>
    <w:rsid w:val="72613154"/>
    <w:rsid w:val="7AD66272"/>
    <w:rsid w:val="7E7E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294EA"/>
  <w15:docId w15:val="{0454EB24-C130-47B2-9E9F-1C3BDC36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spacing w:beforeAutospacing="1" w:afterAutospacing="1"/>
      <w:jc w:val="left"/>
    </w:pPr>
    <w:rPr>
      <w:kern w:val="0"/>
      <w:sz w:val="24"/>
    </w:rPr>
  </w:style>
  <w:style w:type="character" w:customStyle="1" w:styleId="a7">
    <w:name w:val="页眉 字符"/>
    <w:basedOn w:val="a0"/>
    <w:link w:val="a6"/>
    <w:uiPriority w:val="99"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kern w:val="2"/>
      <w:sz w:val="18"/>
      <w:szCs w:val="18"/>
    </w:rPr>
  </w:style>
  <w:style w:type="paragraph" w:styleId="a9">
    <w:name w:val="List Paragraph"/>
    <w:basedOn w:val="a"/>
    <w:uiPriority w:val="99"/>
    <w:rsid w:val="00F018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428</Words>
  <Characters>2442</Characters>
  <Application>Microsoft Office Word</Application>
  <DocSecurity>0</DocSecurity>
  <Lines>20</Lines>
  <Paragraphs>5</Paragraphs>
  <ScaleCrop>false</ScaleCrop>
  <Company>Sdjuk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Zhuo-Cheng Hou</cp:lastModifiedBy>
  <cp:revision>7</cp:revision>
  <cp:lastPrinted>2011-07-07T01:05:00Z</cp:lastPrinted>
  <dcterms:created xsi:type="dcterms:W3CDTF">2018-08-28T13:11:00Z</dcterms:created>
  <dcterms:modified xsi:type="dcterms:W3CDTF">2020-09-14T02:23:00Z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