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8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9</w:t>
      </w:r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高等数学A</w:t>
      </w:r>
      <w:r>
        <w:rPr>
          <w:rFonts w:ascii="楷体_GB2312" w:eastAsia="楷体_GB2312"/>
          <w:b/>
          <w:sz w:val="28"/>
          <w:u w:val="single"/>
        </w:rPr>
        <w:t xml:space="preserve"> (</w:t>
      </w:r>
      <w:r>
        <w:rPr>
          <w:rFonts w:hint="eastAsia" w:ascii="楷体_GB2312" w:eastAsia="楷体_GB2312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hint="eastAsia" w:ascii="楷体_GB2312" w:eastAsia="楷体_GB2312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  <w:lang w:val="en-US" w:eastAsia="zh-CN"/>
        </w:rPr>
        <w:t>32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  <w:lang w:val="en-US" w:eastAsia="zh-CN"/>
        </w:rPr>
        <w:t>4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＿</w:t>
      </w:r>
      <w:r>
        <w:rPr>
          <w:bCs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  <w:lang w:eastAsia="zh-CN"/>
        </w:rPr>
        <w:t>重修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班 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150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 人 </w:t>
      </w:r>
      <w:r>
        <w:rPr>
          <w:rFonts w:eastAsia="仿宋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刘建军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1123"/>
        <w:rPr>
          <w:rFonts w:ascii="楷体_GB2312" w:hAnsi="宋体" w:eastAsia="楷体_GB2312"/>
          <w:b/>
          <w:color w:val="000000"/>
          <w:szCs w:val="21"/>
          <w:u w:val="single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hAnsi="宋体" w:eastAsia="楷体_GB2312"/>
          <w:b/>
          <w:color w:val="000000"/>
          <w:szCs w:val="21"/>
          <w:u w:val="single"/>
        </w:rPr>
        <w:t xml:space="preserve">    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        教授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                     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楷体_GB2312" w:eastAsia="楷体_GB2312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>　作者：</w:t>
      </w:r>
      <w:r>
        <w:rPr>
          <w:rFonts w:hint="eastAsia" w:ascii="楷体_GB2312" w:eastAsia="楷体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  向量及其线性运算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§2  数量积、向量积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§3  曲面及其方程</w:t>
            </w:r>
            <w:r>
              <w:rPr>
                <w:rFonts w:hint="eastAsia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/>
              </w:rPr>
              <w:t>二次曲面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§4  空间曲线及其方程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§5  平面及其方程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§6  空间直线及其方程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 多元函数的基本概念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§2 偏导数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§3全微分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§4 多元复合函数的求导法则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§5 隐函数的求导法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§6多元函数微分学的几何应用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§7 方向导数与梯度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§8 多元函数极值及其求法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color w:val="000000"/>
                <w:lang w:val="en-US" w:eastAsia="zh-CN"/>
              </w:rPr>
            </w:pPr>
            <w:r>
              <w:rPr>
                <w:rFonts w:hint="eastAsia" w:ascii="Arial Black" w:hAnsi="Arial Black"/>
                <w:b/>
                <w:i/>
                <w:color w:val="000000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§1二重积分的概念、性质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§2 二重积分的计算法</w:t>
            </w:r>
          </w:p>
          <w:p>
            <w:pPr>
              <w:spacing w:line="30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§3 三重积分的概念、</w:t>
            </w:r>
            <w:r>
              <w:rPr>
                <w:rFonts w:hint="eastAsia"/>
                <w:lang w:eastAsia="zh-CN"/>
              </w:rPr>
              <w:t>计算</w:t>
            </w:r>
          </w:p>
          <w:p>
            <w:pPr>
              <w:spacing w:line="300" w:lineRule="auto"/>
              <w:rPr>
                <w:color w:val="000000"/>
              </w:rPr>
            </w:pPr>
            <w:r>
              <w:rPr>
                <w:rFonts w:hint="eastAsia"/>
              </w:rPr>
              <w:t>§4 重积分的应用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color w:val="000000"/>
                <w:lang w:eastAsia="zh-CN"/>
              </w:rPr>
            </w:pPr>
            <w:r>
              <w:rPr>
                <w:rFonts w:hint="eastAsia" w:ascii="Arial Black" w:hAnsi="Arial Black"/>
                <w:b/>
                <w:i/>
                <w:color w:val="000000"/>
                <w:lang w:val="en-US" w:eastAsia="zh-CN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 xml:space="preserve">第十一章 </w:t>
            </w:r>
            <w:r>
              <w:rPr>
                <w:rFonts w:hint="eastAsia"/>
                <w:b/>
                <w:bCs/>
                <w:lang w:eastAsia="zh-CN"/>
              </w:rPr>
              <w:t>曲线曲面积分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 对弧长的曲线积分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§2 对坐标的曲线积分</w:t>
            </w:r>
          </w:p>
          <w:p>
            <w:pPr>
              <w:spacing w:line="300" w:lineRule="auto"/>
              <w:rPr>
                <w:color w:val="000000"/>
              </w:rPr>
            </w:pPr>
            <w:r>
              <w:rPr>
                <w:rFonts w:hint="eastAsia"/>
              </w:rPr>
              <w:t>§3 格林公式、平面上曲线积分与路径无关的条件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lang w:eastAsia="zh-CN"/>
              </w:rPr>
            </w:pPr>
            <w:r>
              <w:rPr>
                <w:rFonts w:hint="eastAsia" w:ascii="Arial Black" w:hAnsi="Arial Black"/>
                <w:b/>
                <w:i/>
                <w:lang w:val="en-US" w:eastAsia="zh-CN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 xml:space="preserve">高斯公式  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 xml:space="preserve">第十二章 </w:t>
            </w:r>
            <w:r>
              <w:rPr>
                <w:rFonts w:hint="eastAsia"/>
                <w:lang w:eastAsia="zh-CN"/>
              </w:rPr>
              <w:t>无穷级数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  <w:r>
              <w:rPr>
                <w:rFonts w:hint="eastAsia"/>
                <w:color w:val="000000"/>
                <w:lang w:eastAsia="zh-CN"/>
              </w:rPr>
              <w:t>，</w:t>
            </w:r>
            <w:r>
              <w:rPr>
                <w:rFonts w:hint="eastAsia"/>
                <w:color w:val="000000"/>
              </w:rPr>
              <w:t>交错级数及其审敛法、绝对收敛及条件收敛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4 函数展开成</w:t>
            </w:r>
            <w:r>
              <w:rPr>
                <w:rFonts w:hint="eastAsia"/>
                <w:color w:val="000000"/>
              </w:rPr>
              <w:t>幂级数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  <w:p>
            <w:pPr>
              <w:spacing w:line="360" w:lineRule="auto"/>
            </w:pPr>
            <w:r>
              <w:t>§</w:t>
            </w:r>
            <w:r>
              <w:rPr>
                <w:rFonts w:hint="eastAsia"/>
              </w:rPr>
              <w:t>6傅立叶级数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tcMar>
              <w:top w:w="28" w:type="dxa"/>
              <w:bottom w:w="28" w:type="dxa"/>
            </w:tcMar>
            <w:vAlign w:val="center"/>
          </w:tcPr>
          <w:p>
            <w:pPr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E9"/>
    <w:rsid w:val="000D3E55"/>
    <w:rsid w:val="000D6120"/>
    <w:rsid w:val="00145D8E"/>
    <w:rsid w:val="001E58C1"/>
    <w:rsid w:val="002309E1"/>
    <w:rsid w:val="002630F1"/>
    <w:rsid w:val="00322334"/>
    <w:rsid w:val="00356445"/>
    <w:rsid w:val="003B759D"/>
    <w:rsid w:val="004606C8"/>
    <w:rsid w:val="00485066"/>
    <w:rsid w:val="004A3050"/>
    <w:rsid w:val="004D382B"/>
    <w:rsid w:val="004E5BE6"/>
    <w:rsid w:val="00523F76"/>
    <w:rsid w:val="00611795"/>
    <w:rsid w:val="0064138E"/>
    <w:rsid w:val="0065711D"/>
    <w:rsid w:val="007D37EB"/>
    <w:rsid w:val="007F5548"/>
    <w:rsid w:val="00827F52"/>
    <w:rsid w:val="00860BF5"/>
    <w:rsid w:val="0089343D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F712BE"/>
    <w:rsid w:val="00FD31E3"/>
    <w:rsid w:val="35734177"/>
    <w:rsid w:val="581C6E1A"/>
    <w:rsid w:val="6A11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9">
    <w:name w:val="标题 1 Char"/>
    <w:basedOn w:val="6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批注框文本 Char"/>
    <w:basedOn w:val="6"/>
    <w:link w:val="3"/>
    <w:semiHidden/>
    <w:qFormat/>
    <w:locked/>
    <w:uiPriority w:val="99"/>
    <w:rPr>
      <w:rFonts w:cs="Times New Roman"/>
      <w:sz w:val="2"/>
    </w:rPr>
  </w:style>
  <w:style w:type="character" w:customStyle="1" w:styleId="11">
    <w:name w:val="页眉 Char"/>
    <w:basedOn w:val="6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382</Words>
  <Characters>2178</Characters>
  <Lines>18</Lines>
  <Paragraphs>5</Paragraphs>
  <TotalTime>0</TotalTime>
  <ScaleCrop>false</ScaleCrop>
  <LinksUpToDate>false</LinksUpToDate>
  <CharactersWithSpaces>2555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2018-03-06T03:21:00Z</dcterms:created>
  <dc:creator>Juk</dc:creator>
  <cp:lastModifiedBy>dell</cp:lastModifiedBy>
  <cp:lastPrinted>2008-02-06T15:20:00Z</cp:lastPrinted>
  <dcterms:modified xsi:type="dcterms:W3CDTF">2019-03-07T02:14:56Z</dcterms:modified>
  <dc:title>20   至20    学年  第    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