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1D0EA">
      <w:pPr>
        <w:pStyle w:val="2"/>
        <w:pageBreakBefore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auto"/>
          <w:sz w:val="32"/>
          <w:szCs w:val="48"/>
          <w:highlight w:val="none"/>
        </w:rPr>
      </w:pPr>
      <w:bookmarkStart w:id="0" w:name="_Toc10757"/>
      <w:bookmarkStart w:id="1" w:name="_Toc29968"/>
      <w:bookmarkStart w:id="10" w:name="_GoBack"/>
      <w:r>
        <w:rPr>
          <w:rFonts w:hint="eastAsia" w:ascii="黑体" w:hAnsi="黑体" w:eastAsia="黑体" w:cs="黑体"/>
          <w:color w:val="auto"/>
          <w:sz w:val="32"/>
          <w:szCs w:val="48"/>
          <w:highlight w:val="none"/>
          <w:lang w:val="en-US" w:eastAsia="zh-CN"/>
        </w:rPr>
        <w:t>中国石油大学（北京）理学院本科生综合素质测评细则</w:t>
      </w:r>
      <w:bookmarkEnd w:id="0"/>
      <w:bookmarkEnd w:id="1"/>
    </w:p>
    <w:bookmarkEnd w:id="10"/>
    <w:p w14:paraId="5DD4E500">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eastAsia="zh-CN"/>
        </w:rPr>
        <w:t>本科生综合测评是对本科生的德、智、体、</w:t>
      </w:r>
      <w:r>
        <w:rPr>
          <w:rFonts w:hint="eastAsia" w:ascii="仿宋_GB2312" w:eastAsia="仿宋_GB2312"/>
          <w:color w:val="auto"/>
          <w:highlight w:val="none"/>
          <w:lang w:val="en-US" w:eastAsia="zh-CN"/>
        </w:rPr>
        <w:t>美、劳</w:t>
      </w:r>
      <w:r>
        <w:rPr>
          <w:rFonts w:hint="eastAsia" w:ascii="仿宋_GB2312" w:eastAsia="仿宋_GB2312"/>
          <w:color w:val="auto"/>
          <w:highlight w:val="none"/>
          <w:lang w:eastAsia="zh-CN"/>
        </w:rPr>
        <w:t>等各方面素质的综合评价，是评选奖学金、评选本科生推免保送研究生等工作的重要依据。按照学生工作处要求，结合理学院实际情况，经</w:t>
      </w:r>
      <w:r>
        <w:rPr>
          <w:rFonts w:hint="eastAsia" w:ascii="仿宋_GB2312" w:eastAsia="仿宋_GB2312"/>
          <w:color w:val="auto"/>
          <w:highlight w:val="none"/>
          <w:lang w:eastAsia="zh-Hans"/>
        </w:rPr>
        <w:t>理学院党政联席会</w:t>
      </w:r>
      <w:r>
        <w:rPr>
          <w:rFonts w:hint="eastAsia" w:ascii="仿宋_GB2312" w:eastAsia="仿宋_GB2312"/>
          <w:color w:val="auto"/>
          <w:highlight w:val="none"/>
          <w:lang w:eastAsia="zh-CN"/>
        </w:rPr>
        <w:t>讨论特制定《中国石油大学（北京）理学院本科生综合素质测评细则》，以下简称《细则》。</w:t>
      </w:r>
    </w:p>
    <w:p w14:paraId="3E308B98">
      <w:pPr>
        <w:pageBreakBefore w:val="0"/>
        <w:kinsoku/>
        <w:wordWrap/>
        <w:overflowPunct/>
        <w:topLinePunct w:val="0"/>
        <w:autoSpaceDE/>
        <w:autoSpaceDN/>
        <w:bidi w:val="0"/>
        <w:adjustRightInd/>
        <w:snapToGrid/>
        <w:spacing w:line="360" w:lineRule="auto"/>
        <w:textAlignment w:val="auto"/>
        <w:rPr>
          <w:color w:val="auto"/>
          <w:highlight w:val="none"/>
          <w:lang w:eastAsia="zh-CN"/>
        </w:rPr>
      </w:pPr>
    </w:p>
    <w:p w14:paraId="7A331318">
      <w:pPr>
        <w:pageBreakBefore w:val="0"/>
        <w:numPr>
          <w:ilvl w:val="0"/>
          <w:numId w:val="0"/>
        </w:numPr>
        <w:kinsoku/>
        <w:wordWrap/>
        <w:overflowPunct/>
        <w:topLinePunct w:val="0"/>
        <w:autoSpaceDE/>
        <w:autoSpaceDN/>
        <w:bidi w:val="0"/>
        <w:adjustRightInd/>
        <w:snapToGrid/>
        <w:spacing w:line="360" w:lineRule="auto"/>
        <w:textAlignment w:val="auto"/>
        <w:rPr>
          <w:rFonts w:ascii="仿宋" w:hAnsi="仿宋" w:eastAsia="仿宋_GB2312" w:cs="仿宋"/>
          <w:b/>
          <w:bCs/>
          <w:color w:val="auto"/>
          <w:sz w:val="28"/>
          <w:szCs w:val="28"/>
          <w:highlight w:val="none"/>
          <w:lang w:eastAsia="zh-CN"/>
        </w:rPr>
      </w:pPr>
      <w:r>
        <w:rPr>
          <w:rFonts w:hint="eastAsia" w:ascii="仿宋" w:hAnsi="仿宋" w:eastAsia="仿宋_GB2312" w:cs="仿宋"/>
          <w:b/>
          <w:bCs/>
          <w:color w:val="auto"/>
          <w:kern w:val="2"/>
          <w:sz w:val="28"/>
          <w:szCs w:val="28"/>
          <w:highlight w:val="none"/>
          <w:lang w:val="en-US" w:eastAsia="zh-CN" w:bidi="ar-SA"/>
        </w:rPr>
        <w:t>一、</w:t>
      </w:r>
      <w:r>
        <w:rPr>
          <w:rFonts w:hint="eastAsia" w:ascii="仿宋" w:hAnsi="仿宋" w:eastAsia="仿宋_GB2312" w:cs="仿宋"/>
          <w:b/>
          <w:bCs/>
          <w:color w:val="auto"/>
          <w:sz w:val="28"/>
          <w:szCs w:val="28"/>
          <w:highlight w:val="none"/>
          <w:lang w:eastAsia="zh-CN"/>
        </w:rPr>
        <w:t>总则</w:t>
      </w:r>
    </w:p>
    <w:p w14:paraId="1D7BE591">
      <w:pPr>
        <w:pageBreakBefore w:val="0"/>
        <w:kinsoku/>
        <w:wordWrap/>
        <w:overflowPunct/>
        <w:topLinePunct w:val="0"/>
        <w:autoSpaceDE/>
        <w:autoSpaceDN/>
        <w:bidi w:val="0"/>
        <w:adjustRightInd/>
        <w:snapToGrid/>
        <w:spacing w:line="360" w:lineRule="auto"/>
        <w:ind w:firstLine="460" w:firstLineChars="200"/>
        <w:textAlignment w:val="auto"/>
        <w:rPr>
          <w:rFonts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（一）本综合测评细则适用于我院在读的全日制本科生。</w:t>
      </w:r>
    </w:p>
    <w:p w14:paraId="2F95EF5F">
      <w:pPr>
        <w:pageBreakBefore w:val="0"/>
        <w:kinsoku/>
        <w:wordWrap/>
        <w:overflowPunct/>
        <w:topLinePunct w:val="0"/>
        <w:autoSpaceDE/>
        <w:autoSpaceDN/>
        <w:bidi w:val="0"/>
        <w:adjustRightInd/>
        <w:snapToGrid/>
        <w:spacing w:line="360" w:lineRule="auto"/>
        <w:ind w:firstLine="460" w:firstLineChars="200"/>
        <w:textAlignment w:val="auto"/>
        <w:rPr>
          <w:rFonts w:eastAsia="仿宋_GB2312"/>
          <w:color w:val="auto"/>
          <w:highlight w:val="none"/>
          <w:lang w:eastAsia="zh-CN"/>
        </w:rPr>
      </w:pPr>
      <w:r>
        <w:rPr>
          <w:rFonts w:hint="eastAsia" w:ascii="仿宋" w:hAnsi="仿宋" w:eastAsia="仿宋_GB2312" w:cs="仿宋"/>
          <w:color w:val="auto"/>
          <w:highlight w:val="none"/>
          <w:lang w:eastAsia="zh-CN"/>
        </w:rPr>
        <w:t>（二）原则上规定学制年限内的全日制本科生都要参与综合测评，超出规定学制年限的本科生自愿参与综合测评，奖学金相关评选按学生手册执行。</w:t>
      </w:r>
    </w:p>
    <w:p w14:paraId="02B329FC">
      <w:pPr>
        <w:pageBreakBefore w:val="0"/>
        <w:kinsoku/>
        <w:wordWrap/>
        <w:overflowPunct/>
        <w:topLinePunct w:val="0"/>
        <w:autoSpaceDE/>
        <w:autoSpaceDN/>
        <w:bidi w:val="0"/>
        <w:adjustRightInd/>
        <w:snapToGrid/>
        <w:spacing w:line="360" w:lineRule="auto"/>
        <w:ind w:left="0" w:leftChars="0" w:firstLine="0" w:firstLineChars="0"/>
        <w:textAlignment w:val="auto"/>
        <w:rPr>
          <w:rFonts w:ascii="仿宋" w:hAnsi="仿宋" w:eastAsia="仿宋_GB2312" w:cs="仿宋"/>
          <w:b/>
          <w:bCs/>
          <w:color w:val="auto"/>
          <w:sz w:val="28"/>
          <w:szCs w:val="28"/>
          <w:highlight w:val="none"/>
          <w:lang w:eastAsia="zh-CN"/>
        </w:rPr>
      </w:pPr>
      <w:r>
        <w:rPr>
          <w:rFonts w:hint="eastAsia" w:ascii="仿宋" w:hAnsi="仿宋" w:eastAsia="仿宋_GB2312" w:cs="仿宋"/>
          <w:b/>
          <w:bCs/>
          <w:color w:val="auto"/>
          <w:sz w:val="28"/>
          <w:szCs w:val="28"/>
          <w:highlight w:val="none"/>
          <w:lang w:eastAsia="zh-CN"/>
        </w:rPr>
        <w:t>二、成绩计算</w:t>
      </w:r>
    </w:p>
    <w:p w14:paraId="71FE0D97">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综合测评成绩=德育成绩×15%+智育成绩×70%+体育成绩×5%+美育成绩×5%+劳育成绩×5%</w:t>
      </w:r>
    </w:p>
    <w:p w14:paraId="436DDCA5">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b/>
          <w:bCs/>
          <w:color w:val="auto"/>
          <w:sz w:val="28"/>
          <w:szCs w:val="28"/>
          <w:highlight w:val="none"/>
          <w:lang w:eastAsia="zh-Hans"/>
        </w:rPr>
      </w:pPr>
      <w:r>
        <w:rPr>
          <w:rFonts w:hint="eastAsia" w:ascii="仿宋" w:hAnsi="仿宋" w:eastAsia="仿宋_GB2312" w:cs="仿宋"/>
          <w:b/>
          <w:bCs/>
          <w:color w:val="auto"/>
          <w:sz w:val="28"/>
          <w:szCs w:val="28"/>
          <w:highlight w:val="none"/>
          <w:lang w:eastAsia="zh-CN"/>
        </w:rPr>
        <w:t>三、</w:t>
      </w:r>
      <w:r>
        <w:rPr>
          <w:rFonts w:hint="eastAsia" w:ascii="仿宋" w:hAnsi="仿宋" w:eastAsia="仿宋_GB2312" w:cs="仿宋"/>
          <w:b/>
          <w:bCs/>
          <w:color w:val="auto"/>
          <w:sz w:val="28"/>
          <w:szCs w:val="28"/>
          <w:highlight w:val="none"/>
          <w:lang w:eastAsia="zh-Hans"/>
        </w:rPr>
        <w:t>德育成绩计算</w:t>
      </w:r>
    </w:p>
    <w:p w14:paraId="26D32671">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德育成绩（100分）=思想品德测评分值（70分）＋德育加分（30分）-扣分项</w:t>
      </w:r>
    </w:p>
    <w:p w14:paraId="7183BDD4">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b/>
          <w:bCs/>
          <w:color w:val="auto"/>
          <w:highlight w:val="none"/>
          <w:lang w:eastAsia="zh-CN"/>
        </w:rPr>
      </w:pPr>
      <w:r>
        <w:rPr>
          <w:rFonts w:hint="eastAsia" w:ascii="仿宋" w:hAnsi="仿宋" w:eastAsia="仿宋_GB2312" w:cs="仿宋"/>
          <w:b/>
          <w:bCs/>
          <w:color w:val="auto"/>
          <w:highlight w:val="none"/>
          <w:lang w:eastAsia="zh-CN"/>
        </w:rPr>
        <w:t>（一）思想品德测评分值（70分）</w:t>
      </w:r>
    </w:p>
    <w:p w14:paraId="51F81112">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学生思想品德测评分值=（辅导员评分×50%+班团委员会评分20%+班级学生互评平均分×20%+班主任评分×10%）×70%</w:t>
      </w:r>
    </w:p>
    <w:p w14:paraId="537F209F">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其中，辅导员</w:t>
      </w:r>
      <w:r>
        <w:rPr>
          <w:rFonts w:hint="eastAsia" w:ascii="仿宋" w:hAnsi="仿宋" w:eastAsia="仿宋_GB2312" w:cs="仿宋"/>
          <w:color w:val="auto"/>
          <w:highlight w:val="none"/>
          <w:lang w:val="en-US" w:eastAsia="zh-CN"/>
        </w:rPr>
        <w:t>评分</w:t>
      </w:r>
      <w:r>
        <w:rPr>
          <w:rFonts w:hint="eastAsia" w:ascii="仿宋" w:hAnsi="仿宋" w:eastAsia="仿宋_GB2312" w:cs="仿宋"/>
          <w:color w:val="auto"/>
          <w:highlight w:val="none"/>
          <w:lang w:eastAsia="zh-CN"/>
        </w:rPr>
        <w:t>满分100分，由上一学年管理本班级的辅导员直接给到班级综合测评小组，无需各位同学自己找辅导员打分；</w:t>
      </w:r>
    </w:p>
    <w:p w14:paraId="7F871064">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班级学生互评，每一位同学给班级所有同学匿名评分，满分100分，剔除一个最高分和一个最低分后计算平均分；</w:t>
      </w:r>
    </w:p>
    <w:p w14:paraId="65D432FB">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班团委员会评分，各班委须客观公正地给班级所有同学匿名评分，满分100分，剔除一个最高分和一个最低分后计算平均分。</w:t>
      </w:r>
    </w:p>
    <w:p w14:paraId="7A8420E3">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主要从理想信念、集体观念、公共道德、学习态度、组织纪律等五个方面表现进行综合评价，每项20分，详见附件</w:t>
      </w:r>
      <w:r>
        <w:rPr>
          <w:rFonts w:hint="eastAsia" w:ascii="仿宋" w:hAnsi="仿宋" w:eastAsia="仿宋_GB2312" w:cs="仿宋"/>
          <w:color w:val="auto"/>
          <w:highlight w:val="none"/>
          <w:lang w:val="en-US" w:eastAsia="zh-CN"/>
        </w:rPr>
        <w:t>1</w:t>
      </w:r>
      <w:r>
        <w:rPr>
          <w:rFonts w:hint="eastAsia" w:ascii="仿宋" w:hAnsi="仿宋" w:eastAsia="仿宋_GB2312" w:cs="仿宋"/>
          <w:color w:val="auto"/>
          <w:highlight w:val="none"/>
          <w:lang w:eastAsia="zh-CN"/>
        </w:rPr>
        <w:t>。</w:t>
      </w:r>
    </w:p>
    <w:p w14:paraId="615DE8CB">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b/>
          <w:bCs/>
          <w:color w:val="auto"/>
          <w:highlight w:val="none"/>
          <w:lang w:eastAsia="zh-CN"/>
        </w:rPr>
      </w:pPr>
      <w:r>
        <w:rPr>
          <w:rFonts w:hint="eastAsia" w:ascii="仿宋" w:hAnsi="仿宋" w:eastAsia="仿宋_GB2312" w:cs="仿宋"/>
          <w:b/>
          <w:bCs/>
          <w:color w:val="auto"/>
          <w:highlight w:val="none"/>
          <w:lang w:eastAsia="zh-CN"/>
        </w:rPr>
        <w:t>（二）德育加分（30分）</w:t>
      </w:r>
    </w:p>
    <w:p w14:paraId="2CE8031C">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1.德育加分由思想品德表现和学生社会工作组成，各项分值可累加，上限不超过30分。</w:t>
      </w:r>
    </w:p>
    <w:p w14:paraId="648229EB">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2.思想品德表现包括集体荣誉、个人荣誉、学习进步和积极表现四个方面，按下述标准加分，如所获荣誉不分级别，视为该等级一等奖。</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1"/>
        <w:gridCol w:w="1380"/>
        <w:gridCol w:w="2650"/>
        <w:gridCol w:w="1711"/>
      </w:tblGrid>
      <w:tr w14:paraId="45E0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shd w:val="clear" w:color="auto" w:fill="auto"/>
            <w:noWrap w:val="0"/>
            <w:vAlign w:val="top"/>
          </w:tcPr>
          <w:p w14:paraId="6D2C248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项目</w:t>
            </w:r>
          </w:p>
        </w:tc>
        <w:tc>
          <w:tcPr>
            <w:tcW w:w="1380" w:type="dxa"/>
            <w:shd w:val="clear" w:color="auto" w:fill="auto"/>
            <w:noWrap w:val="0"/>
            <w:vAlign w:val="top"/>
          </w:tcPr>
          <w:p w14:paraId="30815C4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等级</w:t>
            </w:r>
          </w:p>
        </w:tc>
        <w:tc>
          <w:tcPr>
            <w:tcW w:w="2650" w:type="dxa"/>
            <w:shd w:val="clear" w:color="auto" w:fill="auto"/>
            <w:noWrap w:val="0"/>
            <w:vAlign w:val="top"/>
          </w:tcPr>
          <w:p w14:paraId="77FD410A">
            <w:pPr>
              <w:pageBreakBefore w:val="0"/>
              <w:tabs>
                <w:tab w:val="left" w:pos="275"/>
              </w:tabs>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级别</w:t>
            </w:r>
          </w:p>
        </w:tc>
        <w:tc>
          <w:tcPr>
            <w:tcW w:w="1711" w:type="dxa"/>
            <w:shd w:val="clear" w:color="auto" w:fill="auto"/>
            <w:noWrap w:val="0"/>
            <w:vAlign w:val="top"/>
          </w:tcPr>
          <w:p w14:paraId="28B7BDD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加分</w:t>
            </w:r>
          </w:p>
        </w:tc>
      </w:tr>
      <w:tr w14:paraId="1629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781" w:type="dxa"/>
            <w:vMerge w:val="restart"/>
            <w:shd w:val="clear" w:color="auto" w:fill="auto"/>
            <w:noWrap w:val="0"/>
            <w:vAlign w:val="center"/>
          </w:tcPr>
          <w:p w14:paraId="2B4AA5C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集体荣誉加分</w:t>
            </w:r>
          </w:p>
          <w:p w14:paraId="784B7EA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（党支部、团支部、班级、宿舍等获得的集体荣誉，集体成员每人均按对应级别加分）</w:t>
            </w:r>
          </w:p>
        </w:tc>
        <w:tc>
          <w:tcPr>
            <w:tcW w:w="1380" w:type="dxa"/>
            <w:vMerge w:val="restart"/>
            <w:shd w:val="clear" w:color="auto" w:fill="auto"/>
            <w:noWrap w:val="0"/>
            <w:vAlign w:val="center"/>
          </w:tcPr>
          <w:p w14:paraId="6E7E5E1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国家级</w:t>
            </w:r>
          </w:p>
        </w:tc>
        <w:tc>
          <w:tcPr>
            <w:tcW w:w="2650" w:type="dxa"/>
            <w:shd w:val="clear" w:color="auto" w:fill="auto"/>
            <w:noWrap w:val="0"/>
            <w:vAlign w:val="center"/>
          </w:tcPr>
          <w:p w14:paraId="6091B2A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3F9282E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20</w:t>
            </w:r>
          </w:p>
        </w:tc>
      </w:tr>
      <w:tr w14:paraId="209D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781" w:type="dxa"/>
            <w:vMerge w:val="continue"/>
            <w:shd w:val="clear" w:color="auto" w:fill="auto"/>
            <w:noWrap w:val="0"/>
            <w:vAlign w:val="center"/>
          </w:tcPr>
          <w:p w14:paraId="5797D4E7">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1606911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161B3B1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二等奖</w:t>
            </w:r>
          </w:p>
        </w:tc>
        <w:tc>
          <w:tcPr>
            <w:tcW w:w="1711" w:type="dxa"/>
            <w:shd w:val="clear" w:color="auto" w:fill="auto"/>
            <w:noWrap w:val="0"/>
            <w:vAlign w:val="center"/>
          </w:tcPr>
          <w:p w14:paraId="29C2277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18</w:t>
            </w:r>
          </w:p>
        </w:tc>
      </w:tr>
      <w:tr w14:paraId="40DC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781" w:type="dxa"/>
            <w:vMerge w:val="continue"/>
            <w:shd w:val="clear" w:color="auto" w:fill="auto"/>
            <w:noWrap w:val="0"/>
            <w:vAlign w:val="center"/>
          </w:tcPr>
          <w:p w14:paraId="21CFB1F8">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3E7B715C">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0FB0FA4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三等奖</w:t>
            </w:r>
          </w:p>
        </w:tc>
        <w:tc>
          <w:tcPr>
            <w:tcW w:w="1711" w:type="dxa"/>
            <w:shd w:val="clear" w:color="auto" w:fill="auto"/>
            <w:noWrap w:val="0"/>
            <w:vAlign w:val="center"/>
          </w:tcPr>
          <w:p w14:paraId="2C071E8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16</w:t>
            </w:r>
          </w:p>
        </w:tc>
      </w:tr>
      <w:tr w14:paraId="4846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781" w:type="dxa"/>
            <w:vMerge w:val="continue"/>
            <w:shd w:val="clear" w:color="auto" w:fill="auto"/>
            <w:noWrap w:val="0"/>
            <w:vAlign w:val="center"/>
          </w:tcPr>
          <w:p w14:paraId="12C8419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690A209D">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3C3656F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鼓励奖/优秀奖</w:t>
            </w:r>
          </w:p>
        </w:tc>
        <w:tc>
          <w:tcPr>
            <w:tcW w:w="1711" w:type="dxa"/>
            <w:shd w:val="clear" w:color="auto" w:fill="auto"/>
            <w:noWrap w:val="0"/>
            <w:vAlign w:val="center"/>
          </w:tcPr>
          <w:p w14:paraId="2C79580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14</w:t>
            </w:r>
          </w:p>
        </w:tc>
      </w:tr>
      <w:tr w14:paraId="0404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1FFFABF4">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5036BEF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省部级</w:t>
            </w:r>
          </w:p>
        </w:tc>
        <w:tc>
          <w:tcPr>
            <w:tcW w:w="2650" w:type="dxa"/>
            <w:shd w:val="clear" w:color="auto" w:fill="auto"/>
            <w:noWrap w:val="0"/>
            <w:vAlign w:val="center"/>
          </w:tcPr>
          <w:p w14:paraId="0826A9F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58B35C8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12</w:t>
            </w:r>
          </w:p>
        </w:tc>
      </w:tr>
      <w:tr w14:paraId="4D26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61FA46AA">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06DFFD61">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6DDA9F63">
            <w:pPr>
              <w:pageBreakBefore w:val="0"/>
              <w:tabs>
                <w:tab w:val="left" w:pos="312"/>
              </w:tabs>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二等奖</w:t>
            </w:r>
          </w:p>
        </w:tc>
        <w:tc>
          <w:tcPr>
            <w:tcW w:w="1711" w:type="dxa"/>
            <w:shd w:val="clear" w:color="auto" w:fill="auto"/>
            <w:noWrap w:val="0"/>
            <w:vAlign w:val="center"/>
          </w:tcPr>
          <w:p w14:paraId="5C351FE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10</w:t>
            </w:r>
          </w:p>
        </w:tc>
      </w:tr>
      <w:tr w14:paraId="3C31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5EAB04CA">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70065DA2">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2B33835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三等奖</w:t>
            </w:r>
          </w:p>
        </w:tc>
        <w:tc>
          <w:tcPr>
            <w:tcW w:w="1711" w:type="dxa"/>
            <w:shd w:val="clear" w:color="auto" w:fill="auto"/>
            <w:noWrap w:val="0"/>
            <w:vAlign w:val="center"/>
          </w:tcPr>
          <w:p w14:paraId="1F14C63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8</w:t>
            </w:r>
          </w:p>
        </w:tc>
      </w:tr>
      <w:tr w14:paraId="02A5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067E2D65">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53B7A61B">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33D6111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鼓励奖/优秀奖</w:t>
            </w:r>
          </w:p>
        </w:tc>
        <w:tc>
          <w:tcPr>
            <w:tcW w:w="1711" w:type="dxa"/>
            <w:shd w:val="clear" w:color="auto" w:fill="auto"/>
            <w:noWrap w:val="0"/>
            <w:vAlign w:val="center"/>
          </w:tcPr>
          <w:p w14:paraId="4CD461A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6</w:t>
            </w:r>
          </w:p>
        </w:tc>
      </w:tr>
      <w:tr w14:paraId="13C6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3125C955">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0CD93E7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校级</w:t>
            </w:r>
          </w:p>
        </w:tc>
        <w:tc>
          <w:tcPr>
            <w:tcW w:w="2650" w:type="dxa"/>
            <w:shd w:val="clear" w:color="auto" w:fill="auto"/>
            <w:noWrap w:val="0"/>
            <w:vAlign w:val="center"/>
          </w:tcPr>
          <w:p w14:paraId="07EDCA2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03AC499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4</w:t>
            </w:r>
          </w:p>
        </w:tc>
      </w:tr>
      <w:tr w14:paraId="79DB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54B2C610">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29D589FA">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35FA5A8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二等奖</w:t>
            </w:r>
          </w:p>
        </w:tc>
        <w:tc>
          <w:tcPr>
            <w:tcW w:w="1711" w:type="dxa"/>
            <w:shd w:val="clear" w:color="auto" w:fill="auto"/>
            <w:noWrap w:val="0"/>
            <w:vAlign w:val="center"/>
          </w:tcPr>
          <w:p w14:paraId="5483EFA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3</w:t>
            </w:r>
          </w:p>
        </w:tc>
      </w:tr>
      <w:tr w14:paraId="7127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78DCF649">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2BA4816F">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3ACADF1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三等奖</w:t>
            </w:r>
          </w:p>
        </w:tc>
        <w:tc>
          <w:tcPr>
            <w:tcW w:w="1711" w:type="dxa"/>
            <w:shd w:val="clear" w:color="auto" w:fill="auto"/>
            <w:noWrap w:val="0"/>
            <w:vAlign w:val="center"/>
          </w:tcPr>
          <w:p w14:paraId="157814D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r w14:paraId="10DF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3EEB7057">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shd w:val="clear" w:color="auto" w:fill="auto"/>
            <w:noWrap w:val="0"/>
            <w:vAlign w:val="center"/>
          </w:tcPr>
          <w:p w14:paraId="1D1FF84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院级</w:t>
            </w:r>
          </w:p>
        </w:tc>
        <w:tc>
          <w:tcPr>
            <w:tcW w:w="2650" w:type="dxa"/>
            <w:shd w:val="clear" w:color="auto" w:fill="auto"/>
            <w:noWrap w:val="0"/>
            <w:vAlign w:val="center"/>
          </w:tcPr>
          <w:p w14:paraId="0BA2C874">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282BB50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w:t>
            </w:r>
          </w:p>
        </w:tc>
      </w:tr>
      <w:tr w14:paraId="1821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restart"/>
            <w:shd w:val="clear" w:color="auto" w:fill="auto"/>
            <w:noWrap w:val="0"/>
            <w:vAlign w:val="center"/>
          </w:tcPr>
          <w:p w14:paraId="41D4F3A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个人荣誉加分</w:t>
            </w:r>
          </w:p>
          <w:p w14:paraId="61189D4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（参加德育类主题征文、演讲比赛、知识竞赛、作品征集等获奖；荣获思政类相关荣誉称号，获得通报表扬、嘉奖、立功等荣誉）</w:t>
            </w:r>
          </w:p>
        </w:tc>
        <w:tc>
          <w:tcPr>
            <w:tcW w:w="1380" w:type="dxa"/>
            <w:vMerge w:val="restart"/>
            <w:shd w:val="clear" w:color="auto" w:fill="auto"/>
            <w:noWrap w:val="0"/>
            <w:vAlign w:val="center"/>
          </w:tcPr>
          <w:p w14:paraId="4ACB26C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国家级</w:t>
            </w:r>
          </w:p>
        </w:tc>
        <w:tc>
          <w:tcPr>
            <w:tcW w:w="2650" w:type="dxa"/>
            <w:shd w:val="clear" w:color="auto" w:fill="auto"/>
            <w:noWrap w:val="0"/>
            <w:vAlign w:val="center"/>
          </w:tcPr>
          <w:p w14:paraId="5C27B19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5E7363D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12</w:t>
            </w:r>
          </w:p>
        </w:tc>
      </w:tr>
      <w:tr w14:paraId="6C35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0BC2D46D">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49F79669">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32E6482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二等奖</w:t>
            </w:r>
          </w:p>
        </w:tc>
        <w:tc>
          <w:tcPr>
            <w:tcW w:w="1711" w:type="dxa"/>
            <w:shd w:val="clear" w:color="auto" w:fill="auto"/>
            <w:noWrap w:val="0"/>
            <w:vAlign w:val="center"/>
          </w:tcPr>
          <w:p w14:paraId="4CE5ECD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11</w:t>
            </w:r>
          </w:p>
        </w:tc>
      </w:tr>
      <w:tr w14:paraId="30CD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152BEE0C">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09CF717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3D31591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三等奖</w:t>
            </w:r>
          </w:p>
        </w:tc>
        <w:tc>
          <w:tcPr>
            <w:tcW w:w="1711" w:type="dxa"/>
            <w:shd w:val="clear" w:color="auto" w:fill="auto"/>
            <w:noWrap w:val="0"/>
            <w:vAlign w:val="center"/>
          </w:tcPr>
          <w:p w14:paraId="0EF8279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10</w:t>
            </w:r>
          </w:p>
        </w:tc>
      </w:tr>
      <w:tr w14:paraId="03A3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04FCA848">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1E35F243">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69078E6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鼓励奖/优秀奖</w:t>
            </w:r>
          </w:p>
        </w:tc>
        <w:tc>
          <w:tcPr>
            <w:tcW w:w="1711" w:type="dxa"/>
            <w:shd w:val="clear" w:color="auto" w:fill="auto"/>
            <w:noWrap w:val="0"/>
            <w:vAlign w:val="center"/>
          </w:tcPr>
          <w:p w14:paraId="610291F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9</w:t>
            </w:r>
          </w:p>
        </w:tc>
      </w:tr>
      <w:tr w14:paraId="5335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23F13464">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18BF2C6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省部级</w:t>
            </w:r>
          </w:p>
        </w:tc>
        <w:tc>
          <w:tcPr>
            <w:tcW w:w="2650" w:type="dxa"/>
            <w:shd w:val="clear" w:color="auto" w:fill="auto"/>
            <w:noWrap w:val="0"/>
            <w:vAlign w:val="center"/>
          </w:tcPr>
          <w:p w14:paraId="7B0EB50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0A693A3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8</w:t>
            </w:r>
          </w:p>
        </w:tc>
      </w:tr>
      <w:tr w14:paraId="5BF4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6AAE92C5">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03C9A44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68C8587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二等奖</w:t>
            </w:r>
          </w:p>
        </w:tc>
        <w:tc>
          <w:tcPr>
            <w:tcW w:w="1711" w:type="dxa"/>
            <w:shd w:val="clear" w:color="auto" w:fill="auto"/>
            <w:noWrap w:val="0"/>
            <w:vAlign w:val="center"/>
          </w:tcPr>
          <w:p w14:paraId="7E0326A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7</w:t>
            </w:r>
          </w:p>
        </w:tc>
      </w:tr>
      <w:tr w14:paraId="2040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1993D0E3">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5337FEA7">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2664242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三等奖</w:t>
            </w:r>
          </w:p>
        </w:tc>
        <w:tc>
          <w:tcPr>
            <w:tcW w:w="1711" w:type="dxa"/>
            <w:shd w:val="clear" w:color="auto" w:fill="auto"/>
            <w:noWrap w:val="0"/>
            <w:vAlign w:val="center"/>
          </w:tcPr>
          <w:p w14:paraId="3DC1DFF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6</w:t>
            </w:r>
          </w:p>
        </w:tc>
      </w:tr>
      <w:tr w14:paraId="243C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781" w:type="dxa"/>
            <w:vMerge w:val="continue"/>
            <w:shd w:val="clear" w:color="auto" w:fill="auto"/>
            <w:noWrap w:val="0"/>
            <w:vAlign w:val="center"/>
          </w:tcPr>
          <w:p w14:paraId="0B0E7D78">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7A234D4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6092AC1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鼓励奖/优秀奖</w:t>
            </w:r>
          </w:p>
        </w:tc>
        <w:tc>
          <w:tcPr>
            <w:tcW w:w="1711" w:type="dxa"/>
            <w:shd w:val="clear" w:color="auto" w:fill="auto"/>
            <w:noWrap w:val="0"/>
            <w:vAlign w:val="center"/>
          </w:tcPr>
          <w:p w14:paraId="20E9233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5</w:t>
            </w:r>
          </w:p>
        </w:tc>
      </w:tr>
      <w:tr w14:paraId="6FCF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2781" w:type="dxa"/>
            <w:vMerge w:val="continue"/>
            <w:shd w:val="clear" w:color="auto" w:fill="auto"/>
            <w:noWrap w:val="0"/>
            <w:vAlign w:val="center"/>
          </w:tcPr>
          <w:p w14:paraId="21ECB537">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48ABA3F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校级</w:t>
            </w:r>
          </w:p>
        </w:tc>
        <w:tc>
          <w:tcPr>
            <w:tcW w:w="2650" w:type="dxa"/>
            <w:shd w:val="clear" w:color="auto" w:fill="auto"/>
            <w:noWrap w:val="0"/>
            <w:vAlign w:val="center"/>
          </w:tcPr>
          <w:p w14:paraId="0917B21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3B238D5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4</w:t>
            </w:r>
          </w:p>
        </w:tc>
      </w:tr>
      <w:tr w14:paraId="121F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2781" w:type="dxa"/>
            <w:vMerge w:val="continue"/>
            <w:shd w:val="clear" w:color="auto" w:fill="auto"/>
            <w:noWrap w:val="0"/>
            <w:vAlign w:val="center"/>
          </w:tcPr>
          <w:p w14:paraId="60EA00B5">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1A412251">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2892FF2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二等奖</w:t>
            </w:r>
          </w:p>
        </w:tc>
        <w:tc>
          <w:tcPr>
            <w:tcW w:w="1711" w:type="dxa"/>
            <w:shd w:val="clear" w:color="auto" w:fill="auto"/>
            <w:noWrap w:val="0"/>
            <w:vAlign w:val="center"/>
          </w:tcPr>
          <w:p w14:paraId="79B0D6C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3</w:t>
            </w:r>
          </w:p>
        </w:tc>
      </w:tr>
      <w:tr w14:paraId="2731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2781" w:type="dxa"/>
            <w:vMerge w:val="continue"/>
            <w:shd w:val="clear" w:color="auto" w:fill="auto"/>
            <w:noWrap w:val="0"/>
            <w:vAlign w:val="center"/>
          </w:tcPr>
          <w:p w14:paraId="725DD4E6">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33D68E04">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2457B86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三等奖</w:t>
            </w:r>
          </w:p>
        </w:tc>
        <w:tc>
          <w:tcPr>
            <w:tcW w:w="1711" w:type="dxa"/>
            <w:shd w:val="clear" w:color="auto" w:fill="auto"/>
            <w:noWrap w:val="0"/>
            <w:vAlign w:val="center"/>
          </w:tcPr>
          <w:p w14:paraId="0B74EE9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r w14:paraId="2D79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81" w:type="dxa"/>
            <w:vMerge w:val="continue"/>
            <w:shd w:val="clear" w:color="auto" w:fill="auto"/>
            <w:noWrap w:val="0"/>
            <w:vAlign w:val="center"/>
          </w:tcPr>
          <w:p w14:paraId="48AB11D0">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shd w:val="clear" w:color="auto" w:fill="auto"/>
            <w:noWrap w:val="0"/>
            <w:vAlign w:val="center"/>
          </w:tcPr>
          <w:p w14:paraId="7EEF68C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院级</w:t>
            </w:r>
          </w:p>
        </w:tc>
        <w:tc>
          <w:tcPr>
            <w:tcW w:w="2650" w:type="dxa"/>
            <w:shd w:val="clear" w:color="auto" w:fill="auto"/>
            <w:noWrap w:val="0"/>
            <w:vAlign w:val="center"/>
          </w:tcPr>
          <w:p w14:paraId="66A50E0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一等奖</w:t>
            </w:r>
          </w:p>
        </w:tc>
        <w:tc>
          <w:tcPr>
            <w:tcW w:w="1711" w:type="dxa"/>
            <w:shd w:val="clear" w:color="auto" w:fill="auto"/>
            <w:noWrap w:val="0"/>
            <w:vAlign w:val="center"/>
          </w:tcPr>
          <w:p w14:paraId="1F421DD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w:t>
            </w:r>
          </w:p>
        </w:tc>
      </w:tr>
      <w:tr w14:paraId="1CAB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81" w:type="dxa"/>
            <w:shd w:val="clear" w:color="auto" w:fill="auto"/>
            <w:noWrap w:val="0"/>
            <w:vAlign w:val="center"/>
          </w:tcPr>
          <w:p w14:paraId="05F9848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bookmarkStart w:id="2" w:name="_Hlk166774265"/>
            <w:r>
              <w:rPr>
                <w:rFonts w:hint="eastAsia" w:ascii="仿宋" w:hAnsi="仿宋" w:eastAsia="仿宋_GB2312" w:cs="仿宋"/>
                <w:color w:val="auto"/>
                <w:highlight w:val="none"/>
                <w:lang w:eastAsia="zh-CN"/>
              </w:rPr>
              <w:t>学习进步加分</w:t>
            </w:r>
            <w:bookmarkEnd w:id="2"/>
          </w:p>
        </w:tc>
        <w:tc>
          <w:tcPr>
            <w:tcW w:w="4030" w:type="dxa"/>
            <w:gridSpan w:val="2"/>
            <w:shd w:val="clear" w:color="auto" w:fill="auto"/>
            <w:noWrap w:val="0"/>
            <w:vAlign w:val="center"/>
          </w:tcPr>
          <w:p w14:paraId="7646635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bookmarkStart w:id="3" w:name="_Hlk166777064"/>
            <w:r>
              <w:rPr>
                <w:rFonts w:hint="eastAsia" w:ascii="仿宋" w:hAnsi="仿宋" w:eastAsia="仿宋_GB2312" w:cs="仿宋"/>
                <w:color w:val="auto"/>
                <w:highlight w:val="none"/>
                <w:lang w:eastAsia="zh-CN"/>
              </w:rPr>
              <w:t>经过本人刻苦努力，学年内智育成绩排名在同年级同专业中比上一学年度提高</w:t>
            </w:r>
            <w:bookmarkEnd w:id="3"/>
            <w:r>
              <w:rPr>
                <w:rFonts w:hint="eastAsia" w:ascii="仿宋" w:hAnsi="仿宋" w:eastAsia="仿宋_GB2312" w:cs="仿宋"/>
                <w:color w:val="auto"/>
                <w:highlight w:val="none"/>
                <w:lang w:eastAsia="zh-CN"/>
              </w:rPr>
              <w:t>，根据进步幅度加分，加分细则另附。</w:t>
            </w:r>
          </w:p>
        </w:tc>
        <w:tc>
          <w:tcPr>
            <w:tcW w:w="1711" w:type="dxa"/>
            <w:shd w:val="clear" w:color="auto" w:fill="auto"/>
            <w:noWrap w:val="0"/>
            <w:vAlign w:val="center"/>
          </w:tcPr>
          <w:p w14:paraId="0B61492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0-10</w:t>
            </w:r>
          </w:p>
        </w:tc>
      </w:tr>
      <w:tr w14:paraId="3429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restart"/>
            <w:shd w:val="clear" w:color="auto" w:fill="auto"/>
            <w:noWrap w:val="0"/>
            <w:vAlign w:val="center"/>
          </w:tcPr>
          <w:p w14:paraId="69CD95F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积极表现加分</w:t>
            </w:r>
          </w:p>
          <w:p w14:paraId="04CF55E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（经相关职能部门或学院认定）</w:t>
            </w:r>
          </w:p>
        </w:tc>
        <w:tc>
          <w:tcPr>
            <w:tcW w:w="1380" w:type="dxa"/>
            <w:vMerge w:val="restart"/>
            <w:shd w:val="clear" w:color="auto" w:fill="auto"/>
            <w:noWrap w:val="0"/>
            <w:vAlign w:val="center"/>
          </w:tcPr>
          <w:p w14:paraId="7BB2874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在服务社会奉献社会方面表现突出</w:t>
            </w:r>
          </w:p>
        </w:tc>
        <w:tc>
          <w:tcPr>
            <w:tcW w:w="2650" w:type="dxa"/>
            <w:shd w:val="clear" w:color="auto" w:fill="auto"/>
            <w:noWrap w:val="0"/>
            <w:vAlign w:val="center"/>
          </w:tcPr>
          <w:p w14:paraId="6128CCD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事迹特别突出、有重大影响的（如获见义勇为荣誉称号、捐献造血干细胞等）</w:t>
            </w:r>
          </w:p>
        </w:tc>
        <w:tc>
          <w:tcPr>
            <w:tcW w:w="1711" w:type="dxa"/>
            <w:shd w:val="clear" w:color="auto" w:fill="auto"/>
            <w:noWrap w:val="0"/>
            <w:vAlign w:val="center"/>
          </w:tcPr>
          <w:p w14:paraId="33CD5C14">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30</w:t>
            </w:r>
          </w:p>
        </w:tc>
      </w:tr>
      <w:tr w14:paraId="29C6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5D360550">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771E8AFA">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6DEEACE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事迹突出、有较大影响的（如在抢险救灾等应急事件处置中表现突出等）</w:t>
            </w:r>
          </w:p>
        </w:tc>
        <w:tc>
          <w:tcPr>
            <w:tcW w:w="1711" w:type="dxa"/>
            <w:shd w:val="clear" w:color="auto" w:fill="auto"/>
            <w:noWrap w:val="0"/>
            <w:vAlign w:val="center"/>
          </w:tcPr>
          <w:p w14:paraId="0445EE2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15</w:t>
            </w:r>
          </w:p>
        </w:tc>
      </w:tr>
      <w:tr w14:paraId="3164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27B414B3">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182A21D6">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7A8287C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事迹比较突出、有一定影响的（如拾金不昧、无偿献血等）</w:t>
            </w:r>
          </w:p>
        </w:tc>
        <w:tc>
          <w:tcPr>
            <w:tcW w:w="1711" w:type="dxa"/>
            <w:shd w:val="clear" w:color="auto" w:fill="auto"/>
            <w:noWrap w:val="0"/>
            <w:vAlign w:val="center"/>
          </w:tcPr>
          <w:p w14:paraId="5725AC1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5</w:t>
            </w:r>
          </w:p>
        </w:tc>
      </w:tr>
      <w:tr w14:paraId="0FCF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781" w:type="dxa"/>
            <w:vMerge w:val="continue"/>
            <w:shd w:val="clear" w:color="auto" w:fill="auto"/>
            <w:noWrap w:val="0"/>
            <w:vAlign w:val="center"/>
          </w:tcPr>
          <w:p w14:paraId="0E01F826">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06AD78C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参与重大活动服务保障</w:t>
            </w:r>
          </w:p>
        </w:tc>
        <w:tc>
          <w:tcPr>
            <w:tcW w:w="2650" w:type="dxa"/>
            <w:shd w:val="clear" w:color="auto" w:fill="auto"/>
            <w:noWrap w:val="0"/>
            <w:vAlign w:val="center"/>
          </w:tcPr>
          <w:p w14:paraId="16FA232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国家级</w:t>
            </w:r>
          </w:p>
        </w:tc>
        <w:tc>
          <w:tcPr>
            <w:tcW w:w="1711" w:type="dxa"/>
            <w:shd w:val="clear" w:color="auto" w:fill="auto"/>
            <w:noWrap w:val="0"/>
            <w:vAlign w:val="center"/>
          </w:tcPr>
          <w:p w14:paraId="6CE1AA8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10</w:t>
            </w:r>
          </w:p>
        </w:tc>
      </w:tr>
      <w:tr w14:paraId="7167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3E80033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43F8D921">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48B8234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省部级</w:t>
            </w:r>
          </w:p>
        </w:tc>
        <w:tc>
          <w:tcPr>
            <w:tcW w:w="1711" w:type="dxa"/>
            <w:shd w:val="clear" w:color="auto" w:fill="auto"/>
            <w:noWrap w:val="0"/>
            <w:vAlign w:val="center"/>
          </w:tcPr>
          <w:p w14:paraId="4E6584C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6</w:t>
            </w:r>
          </w:p>
        </w:tc>
      </w:tr>
      <w:tr w14:paraId="4AB8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74BD3B52">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0D56F9E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参与宣讲</w:t>
            </w:r>
          </w:p>
        </w:tc>
        <w:tc>
          <w:tcPr>
            <w:tcW w:w="2650" w:type="dxa"/>
            <w:shd w:val="clear" w:color="auto" w:fill="auto"/>
            <w:noWrap w:val="0"/>
            <w:vAlign w:val="center"/>
          </w:tcPr>
          <w:p w14:paraId="74EDD2D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国家级</w:t>
            </w:r>
          </w:p>
        </w:tc>
        <w:tc>
          <w:tcPr>
            <w:tcW w:w="1711" w:type="dxa"/>
            <w:shd w:val="clear" w:color="auto" w:fill="auto"/>
            <w:noWrap w:val="0"/>
            <w:vAlign w:val="center"/>
          </w:tcPr>
          <w:p w14:paraId="75D2E46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8</w:t>
            </w:r>
          </w:p>
        </w:tc>
      </w:tr>
      <w:tr w14:paraId="4B41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76D33A19">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5F369F0D">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0CE204D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省部级</w:t>
            </w:r>
          </w:p>
        </w:tc>
        <w:tc>
          <w:tcPr>
            <w:tcW w:w="1711" w:type="dxa"/>
            <w:shd w:val="clear" w:color="auto" w:fill="auto"/>
            <w:noWrap w:val="0"/>
            <w:vAlign w:val="center"/>
          </w:tcPr>
          <w:p w14:paraId="5AF0536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6</w:t>
            </w:r>
          </w:p>
        </w:tc>
      </w:tr>
      <w:tr w14:paraId="60E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613F3F85">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473FD27E">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6206EFC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校级</w:t>
            </w:r>
          </w:p>
        </w:tc>
        <w:tc>
          <w:tcPr>
            <w:tcW w:w="1711" w:type="dxa"/>
            <w:shd w:val="clear" w:color="auto" w:fill="auto"/>
            <w:noWrap w:val="0"/>
            <w:vAlign w:val="center"/>
          </w:tcPr>
          <w:p w14:paraId="235A0A8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4</w:t>
            </w:r>
          </w:p>
        </w:tc>
      </w:tr>
      <w:tr w14:paraId="1FC8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12169051">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restart"/>
            <w:shd w:val="clear" w:color="auto" w:fill="auto"/>
            <w:noWrap w:val="0"/>
            <w:vAlign w:val="center"/>
          </w:tcPr>
          <w:p w14:paraId="64EEC23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积极为学校事业发展做贡献</w:t>
            </w:r>
          </w:p>
        </w:tc>
        <w:tc>
          <w:tcPr>
            <w:tcW w:w="2650" w:type="dxa"/>
            <w:shd w:val="clear" w:color="auto" w:fill="auto"/>
            <w:noWrap w:val="0"/>
            <w:vAlign w:val="center"/>
          </w:tcPr>
          <w:p w14:paraId="2B0103E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积极建言献策被采纳</w:t>
            </w:r>
          </w:p>
        </w:tc>
        <w:tc>
          <w:tcPr>
            <w:tcW w:w="1711" w:type="dxa"/>
            <w:shd w:val="clear" w:color="auto" w:fill="auto"/>
            <w:noWrap w:val="0"/>
            <w:vAlign w:val="center"/>
          </w:tcPr>
          <w:p w14:paraId="2FAA334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r w14:paraId="5A8D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5789404B">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1380" w:type="dxa"/>
            <w:vMerge w:val="continue"/>
            <w:shd w:val="clear" w:color="auto" w:fill="auto"/>
            <w:noWrap w:val="0"/>
            <w:vAlign w:val="center"/>
          </w:tcPr>
          <w:p w14:paraId="05972057">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2650" w:type="dxa"/>
            <w:shd w:val="clear" w:color="auto" w:fill="auto"/>
            <w:noWrap w:val="0"/>
            <w:vAlign w:val="center"/>
          </w:tcPr>
          <w:p w14:paraId="7BB7705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发现校园内安全隐患并及时拨打保卫处24小时值班电话（89733333）上报</w:t>
            </w:r>
          </w:p>
        </w:tc>
        <w:tc>
          <w:tcPr>
            <w:tcW w:w="1711" w:type="dxa"/>
            <w:shd w:val="clear" w:color="auto" w:fill="auto"/>
            <w:noWrap w:val="0"/>
            <w:vAlign w:val="center"/>
          </w:tcPr>
          <w:p w14:paraId="6390084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r w14:paraId="5AB9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6D334EB1">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4030" w:type="dxa"/>
            <w:gridSpan w:val="2"/>
            <w:shd w:val="clear" w:color="auto" w:fill="auto"/>
            <w:noWrap w:val="0"/>
            <w:vAlign w:val="center"/>
          </w:tcPr>
          <w:p w14:paraId="493AC5C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参加官方组织的国际交流项目、会议或活动，提升学校影响力和美誉度</w:t>
            </w:r>
          </w:p>
        </w:tc>
        <w:tc>
          <w:tcPr>
            <w:tcW w:w="1711" w:type="dxa"/>
            <w:shd w:val="clear" w:color="auto" w:fill="auto"/>
            <w:noWrap w:val="0"/>
            <w:vAlign w:val="center"/>
          </w:tcPr>
          <w:p w14:paraId="7A53112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r w14:paraId="581E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7F617818">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4030" w:type="dxa"/>
            <w:gridSpan w:val="2"/>
            <w:shd w:val="clear" w:color="auto" w:fill="auto"/>
            <w:noWrap w:val="0"/>
            <w:vAlign w:val="center"/>
          </w:tcPr>
          <w:p w14:paraId="244E00E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担任学校学业辅导员、朋辈辅导员并考核合格</w:t>
            </w:r>
          </w:p>
        </w:tc>
        <w:tc>
          <w:tcPr>
            <w:tcW w:w="1711" w:type="dxa"/>
            <w:shd w:val="clear" w:color="auto" w:fill="auto"/>
            <w:noWrap w:val="0"/>
            <w:vAlign w:val="center"/>
          </w:tcPr>
          <w:p w14:paraId="744C40C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r w14:paraId="692A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1" w:type="dxa"/>
            <w:vMerge w:val="continue"/>
            <w:shd w:val="clear" w:color="auto" w:fill="auto"/>
            <w:noWrap w:val="0"/>
            <w:vAlign w:val="center"/>
          </w:tcPr>
          <w:p w14:paraId="7CED7847">
            <w:pPr>
              <w:pageBreakBefore w:val="0"/>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仿宋" w:hAnsi="仿宋" w:eastAsia="仿宋_GB2312" w:cs="仿宋"/>
                <w:color w:val="auto"/>
                <w:highlight w:val="none"/>
                <w:lang w:eastAsia="zh-CN"/>
              </w:rPr>
            </w:pPr>
          </w:p>
        </w:tc>
        <w:tc>
          <w:tcPr>
            <w:tcW w:w="4030" w:type="dxa"/>
            <w:gridSpan w:val="2"/>
            <w:shd w:val="clear" w:color="auto" w:fill="auto"/>
            <w:noWrap w:val="0"/>
            <w:vAlign w:val="center"/>
          </w:tcPr>
          <w:p w14:paraId="58EFE41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考取专业相关证书</w:t>
            </w:r>
          </w:p>
        </w:tc>
        <w:tc>
          <w:tcPr>
            <w:tcW w:w="1711" w:type="dxa"/>
            <w:shd w:val="clear" w:color="auto" w:fill="auto"/>
            <w:noWrap w:val="0"/>
            <w:vAlign w:val="center"/>
          </w:tcPr>
          <w:p w14:paraId="293885E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w:t>
            </w:r>
          </w:p>
        </w:tc>
      </w:tr>
    </w:tbl>
    <w:p w14:paraId="2B91EDFB">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3.学生社会工作以一学年为任期标准进行考核并加分，不满一年者视工作表现情况不予加分或按任职时长折算加分。在各级学生组织、学生工作机构、学生社团、党支部、团支部和班级中，坚持服务同学，认真履职尽责，突出服务贡献，切实完成各项工作的，根据各组织的相应规定按考核结果加分。</w:t>
      </w:r>
    </w:p>
    <w:p w14:paraId="079FB3CC">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4.校级学生组织和校级学生工作机构的成员由校团委负责考核并加分，加分标准为0-12分；校院学生社团的成员根据所在社团上一年度考核评定结果加分，加分标准为0-8分；院级学生组织及工作机构的成员、各党团班学生干部由各学院负责考核并加分，加分标准为0-10分。校团委和各学院要重点围绕服务同学情况、工作履职情况等方面制定各组织成员的考核办法。</w:t>
      </w:r>
    </w:p>
    <w:p w14:paraId="01626D57">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val="en-US" w:eastAsia="zh-CN"/>
        </w:rPr>
        <w:t>其中，</w:t>
      </w:r>
      <w:r>
        <w:rPr>
          <w:rFonts w:hint="eastAsia" w:ascii="仿宋" w:hAnsi="仿宋" w:eastAsia="仿宋_GB2312" w:cs="仿宋"/>
          <w:color w:val="auto"/>
          <w:highlight w:val="none"/>
          <w:lang w:eastAsia="zh-CN"/>
        </w:rPr>
        <w:t>班级学生干部，加0-</w:t>
      </w:r>
      <w:r>
        <w:rPr>
          <w:rFonts w:hint="eastAsia" w:ascii="仿宋" w:hAnsi="仿宋" w:eastAsia="仿宋_GB2312" w:cs="仿宋"/>
          <w:color w:val="auto"/>
          <w:highlight w:val="none"/>
          <w:lang w:val="en-US" w:eastAsia="zh-CN"/>
        </w:rPr>
        <w:t>10</w:t>
      </w:r>
      <w:r>
        <w:rPr>
          <w:rFonts w:hint="eastAsia" w:ascii="仿宋" w:hAnsi="仿宋" w:eastAsia="仿宋_GB2312" w:cs="仿宋"/>
          <w:color w:val="auto"/>
          <w:highlight w:val="none"/>
          <w:lang w:eastAsia="zh-CN"/>
        </w:rPr>
        <w:t>分，由辅导员和班级分别打分，各占1/2，计算时将剔除班级同学的恶意打分，60分以下不加分，60-70加满分的1/4，70-80加满分的1/2，80-90加满分的3/4，90-100加满分（注：此项班长和团支书满分为</w:t>
      </w:r>
      <w:r>
        <w:rPr>
          <w:rFonts w:hint="eastAsia" w:ascii="仿宋" w:hAnsi="仿宋" w:eastAsia="仿宋_GB2312" w:cs="仿宋"/>
          <w:color w:val="auto"/>
          <w:highlight w:val="none"/>
          <w:lang w:val="en-US" w:eastAsia="zh-CN"/>
        </w:rPr>
        <w:t>10</w:t>
      </w:r>
      <w:r>
        <w:rPr>
          <w:rFonts w:hint="eastAsia" w:ascii="仿宋" w:hAnsi="仿宋" w:eastAsia="仿宋_GB2312" w:cs="仿宋"/>
          <w:color w:val="auto"/>
          <w:highlight w:val="none"/>
          <w:lang w:eastAsia="zh-CN"/>
        </w:rPr>
        <w:t>分，其他班委满分为</w:t>
      </w:r>
      <w:r>
        <w:rPr>
          <w:rFonts w:hint="eastAsia" w:ascii="仿宋" w:hAnsi="仿宋" w:eastAsia="仿宋_GB2312" w:cs="仿宋"/>
          <w:color w:val="auto"/>
          <w:highlight w:val="none"/>
          <w:lang w:val="en-US" w:eastAsia="zh-CN"/>
        </w:rPr>
        <w:t>6</w:t>
      </w:r>
      <w:r>
        <w:rPr>
          <w:rFonts w:hint="eastAsia" w:ascii="仿宋" w:hAnsi="仿宋" w:eastAsia="仿宋_GB2312" w:cs="仿宋"/>
          <w:color w:val="auto"/>
          <w:highlight w:val="none"/>
          <w:lang w:eastAsia="zh-CN"/>
        </w:rPr>
        <w:t>分）；寝室长、各科课代表按照实际工作情况由辅导员和班委共同认定酌情加0-3。</w:t>
      </w:r>
    </w:p>
    <w:p w14:paraId="63CE5247">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5.担任多个学生干部职务的，最多可累加2项，第二项职务加分乘上0.5的系数后累加。</w:t>
      </w:r>
    </w:p>
    <w:p w14:paraId="270A2E08">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val="en-US" w:eastAsia="zh-CN"/>
        </w:rPr>
        <w:t>6.</w:t>
      </w:r>
      <w:r>
        <w:rPr>
          <w:rFonts w:hint="eastAsia" w:ascii="仿宋" w:hAnsi="仿宋" w:eastAsia="仿宋_GB2312" w:cs="仿宋"/>
          <w:color w:val="auto"/>
          <w:highlight w:val="none"/>
          <w:lang w:eastAsia="zh-CN"/>
        </w:rPr>
        <w:t>校级及以上荣誉：校级、省部级、国家级竞争取得的荣誉,获得同一类型的多个集体荣誉按照最高级别加分。</w:t>
      </w:r>
    </w:p>
    <w:p w14:paraId="04DEDE37">
      <w:pPr>
        <w:pageBreakBefore w:val="0"/>
        <w:kinsoku/>
        <w:wordWrap/>
        <w:overflowPunct/>
        <w:topLinePunct w:val="0"/>
        <w:autoSpaceDE/>
        <w:autoSpaceDN/>
        <w:bidi w:val="0"/>
        <w:adjustRightInd/>
        <w:snapToGrid/>
        <w:spacing w:line="360" w:lineRule="auto"/>
        <w:ind w:left="0" w:leftChars="0" w:firstLine="420" w:firstLineChars="0"/>
        <w:textAlignment w:val="auto"/>
        <w:rPr>
          <w:rFonts w:hint="default" w:ascii="仿宋" w:hAnsi="仿宋" w:eastAsia="仿宋_GB2312" w:cs="仿宋"/>
          <w:color w:val="auto"/>
          <w:highlight w:val="none"/>
          <w:lang w:val="en-US" w:eastAsia="zh-CN"/>
        </w:rPr>
      </w:pPr>
      <w:r>
        <w:rPr>
          <w:rFonts w:hint="eastAsia" w:ascii="仿宋" w:hAnsi="仿宋" w:eastAsia="仿宋_GB2312" w:cs="仿宋"/>
          <w:color w:val="auto"/>
          <w:highlight w:val="none"/>
          <w:lang w:val="en-US" w:eastAsia="zh-CN"/>
        </w:rPr>
        <w:t>7.在</w:t>
      </w:r>
      <w:r>
        <w:rPr>
          <w:rFonts w:hint="eastAsia" w:ascii="仿宋" w:hAnsi="仿宋" w:eastAsia="仿宋_GB2312" w:cs="仿宋"/>
          <w:color w:val="auto"/>
          <w:highlight w:val="none"/>
          <w:lang w:eastAsia="zh-CN"/>
        </w:rPr>
        <w:t>党支部、团支部、班级、宿舍等</w:t>
      </w:r>
      <w:r>
        <w:rPr>
          <w:rFonts w:hint="eastAsia" w:ascii="仿宋" w:hAnsi="仿宋" w:eastAsia="仿宋_GB2312" w:cs="仿宋"/>
          <w:color w:val="auto"/>
          <w:highlight w:val="none"/>
          <w:lang w:val="en-US" w:eastAsia="zh-CN"/>
        </w:rPr>
        <w:t>评比中</w:t>
      </w:r>
      <w:r>
        <w:rPr>
          <w:rFonts w:hint="eastAsia" w:ascii="仿宋" w:hAnsi="仿宋" w:eastAsia="仿宋_GB2312" w:cs="仿宋"/>
          <w:color w:val="auto"/>
          <w:highlight w:val="none"/>
          <w:lang w:eastAsia="zh-CN"/>
        </w:rPr>
        <w:t>获得集体荣誉，</w:t>
      </w:r>
      <w:r>
        <w:rPr>
          <w:rFonts w:hint="eastAsia" w:ascii="仿宋" w:hAnsi="仿宋" w:eastAsia="仿宋_GB2312" w:cs="仿宋"/>
          <w:color w:val="auto"/>
          <w:highlight w:val="none"/>
          <w:lang w:val="en-US" w:eastAsia="zh-CN"/>
        </w:rPr>
        <w:t>突出贡献者按贡献程度奖励性加0-20分，具体加分由学院综合测评领导小组统一认定。</w:t>
      </w:r>
    </w:p>
    <w:p w14:paraId="3777F381">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b/>
          <w:bCs/>
          <w:color w:val="auto"/>
          <w:highlight w:val="none"/>
          <w:lang w:eastAsia="zh-CN"/>
        </w:rPr>
      </w:pPr>
      <w:r>
        <w:rPr>
          <w:rFonts w:hint="eastAsia" w:ascii="仿宋" w:hAnsi="仿宋" w:eastAsia="仿宋_GB2312" w:cs="仿宋"/>
          <w:b/>
          <w:bCs/>
          <w:color w:val="auto"/>
          <w:highlight w:val="none"/>
          <w:lang w:eastAsia="zh-CN"/>
        </w:rPr>
        <w:t>（三）扣分项</w:t>
      </w:r>
    </w:p>
    <w:p w14:paraId="655A677F">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1.因违反有关规定受有关部门批评教育者（有通知备案的），每次扣4分；</w:t>
      </w:r>
    </w:p>
    <w:p w14:paraId="15CEB245">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2.通报批评扣10分；</w:t>
      </w:r>
    </w:p>
    <w:p w14:paraId="24A69E48">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3.警告处分扣15分；</w:t>
      </w:r>
    </w:p>
    <w:p w14:paraId="765F0329">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4.严重警告处分扣25分；</w:t>
      </w:r>
    </w:p>
    <w:p w14:paraId="24D5BE6B">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5.记过处分扣35分；</w:t>
      </w:r>
    </w:p>
    <w:p w14:paraId="242884CF">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6.留校察看处分扣55分；</w:t>
      </w:r>
    </w:p>
    <w:p w14:paraId="263A9353">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7.开除党籍、团籍处分，德育成绩按0分计；</w:t>
      </w:r>
    </w:p>
    <w:p w14:paraId="4E592125">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8.受其他党团纪律处分，参照上述第3—6款规定扣分；</w:t>
      </w:r>
    </w:p>
    <w:p w14:paraId="79D43E9C">
      <w:pPr>
        <w:pageBreakBefore w:val="0"/>
        <w:kinsoku/>
        <w:wordWrap/>
        <w:overflowPunct/>
        <w:topLinePunct w:val="0"/>
        <w:autoSpaceDE/>
        <w:autoSpaceDN/>
        <w:bidi w:val="0"/>
        <w:adjustRightInd/>
        <w:snapToGrid/>
        <w:spacing w:line="360" w:lineRule="auto"/>
        <w:ind w:left="0" w:leftChars="0" w:firstLine="420" w:firstLineChars="0"/>
        <w:textAlignment w:val="auto"/>
        <w:rPr>
          <w:rFonts w:hint="eastAsia" w:ascii="仿宋" w:hAnsi="仿宋" w:eastAsia="仿宋_GB2312" w:cs="仿宋"/>
          <w:color w:val="auto"/>
          <w:highlight w:val="none"/>
          <w:lang w:eastAsia="zh-CN"/>
        </w:rPr>
      </w:pPr>
      <w:r>
        <w:rPr>
          <w:rFonts w:hint="eastAsia" w:ascii="仿宋" w:hAnsi="仿宋" w:eastAsia="仿宋_GB2312" w:cs="仿宋"/>
          <w:color w:val="auto"/>
          <w:highlight w:val="none"/>
          <w:lang w:eastAsia="zh-CN"/>
        </w:rPr>
        <w:t>9.因受纪律处分而受党团纪律处分的，不重复扣分。</w:t>
      </w:r>
    </w:p>
    <w:p w14:paraId="0928D7F8">
      <w:pPr>
        <w:pageBreakBefore w:val="0"/>
        <w:numPr>
          <w:ilvl w:val="0"/>
          <w:numId w:val="0"/>
        </w:numPr>
        <w:kinsoku/>
        <w:wordWrap/>
        <w:overflowPunct/>
        <w:topLinePunct w:val="0"/>
        <w:autoSpaceDE/>
        <w:autoSpaceDN/>
        <w:bidi w:val="0"/>
        <w:adjustRightInd/>
        <w:snapToGrid/>
        <w:spacing w:line="360" w:lineRule="auto"/>
        <w:textAlignment w:val="auto"/>
        <w:rPr>
          <w:rFonts w:ascii="仿宋" w:hAnsi="仿宋" w:eastAsia="仿宋_GB2312" w:cs="仿宋"/>
          <w:b/>
          <w:bCs/>
          <w:color w:val="auto"/>
          <w:sz w:val="28"/>
          <w:szCs w:val="28"/>
          <w:highlight w:val="none"/>
          <w:lang w:eastAsia="zh-CN"/>
        </w:rPr>
      </w:pPr>
      <w:r>
        <w:rPr>
          <w:rFonts w:hint="eastAsia" w:ascii="仿宋" w:hAnsi="仿宋" w:eastAsia="仿宋_GB2312" w:cs="仿宋"/>
          <w:b/>
          <w:bCs/>
          <w:color w:val="auto"/>
          <w:kern w:val="2"/>
          <w:sz w:val="28"/>
          <w:szCs w:val="28"/>
          <w:highlight w:val="none"/>
          <w:lang w:val="en-US" w:eastAsia="zh-CN" w:bidi="ar-SA"/>
        </w:rPr>
        <w:t>四、</w:t>
      </w:r>
      <w:r>
        <w:rPr>
          <w:rFonts w:hint="eastAsia" w:ascii="仿宋" w:hAnsi="仿宋" w:eastAsia="仿宋_GB2312" w:cs="仿宋"/>
          <w:b/>
          <w:bCs/>
          <w:color w:val="auto"/>
          <w:sz w:val="28"/>
          <w:szCs w:val="28"/>
          <w:highlight w:val="none"/>
          <w:lang w:eastAsia="zh-CN"/>
        </w:rPr>
        <w:t>智育成绩计算</w:t>
      </w:r>
    </w:p>
    <w:p w14:paraId="1642A584">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智育成绩（100分）＝</w:t>
      </w:r>
      <w:bookmarkStart w:id="4" w:name="_Hlk168565210"/>
      <w:r>
        <w:rPr>
          <w:rFonts w:hint="eastAsia" w:ascii="仿宋_GB2312" w:eastAsia="仿宋_GB2312"/>
          <w:color w:val="auto"/>
          <w:highlight w:val="none"/>
          <w:lang w:eastAsia="zh-CN"/>
        </w:rPr>
        <w:t>课程学习成绩</w:t>
      </w:r>
      <w:bookmarkEnd w:id="4"/>
      <w:r>
        <w:rPr>
          <w:rFonts w:hint="eastAsia" w:ascii="仿宋_GB2312" w:eastAsia="仿宋_GB2312"/>
          <w:color w:val="auto"/>
          <w:highlight w:val="none"/>
          <w:lang w:eastAsia="zh-CN"/>
        </w:rPr>
        <w:t>（85分）＋智育加分（15分）</w:t>
      </w:r>
    </w:p>
    <w:p w14:paraId="081E489F">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（一）课程学习成绩（</w:t>
      </w:r>
      <w:r>
        <w:rPr>
          <w:rFonts w:hint="eastAsia" w:ascii="仿宋_GB2312" w:eastAsia="仿宋_GB2312"/>
          <w:b/>
          <w:bCs/>
          <w:color w:val="auto"/>
          <w:highlight w:val="none"/>
          <w:lang w:val="en-US" w:eastAsia="zh-CN"/>
        </w:rPr>
        <w:t>85分</w:t>
      </w:r>
      <w:r>
        <w:rPr>
          <w:rFonts w:hint="eastAsia" w:ascii="仿宋_GB2312" w:eastAsia="仿宋_GB2312"/>
          <w:b/>
          <w:bCs/>
          <w:color w:val="auto"/>
          <w:highlight w:val="none"/>
          <w:lang w:eastAsia="zh-CN"/>
        </w:rPr>
        <w:t>）</w:t>
      </w:r>
    </w:p>
    <w:p w14:paraId="5E265DBD">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课程学习成绩＝</w:t>
      </w:r>
      <m:oMath>
        <m:r>
          <m:rPr>
            <m:sty m:val="p"/>
          </m:rPr>
          <w:rPr>
            <w:rFonts w:hint="default" w:ascii="Cambria Math" w:eastAsia="仿宋_GB2312"/>
            <w:color w:val="auto"/>
            <w:highlight w:val="none"/>
            <w:lang w:val="en-US" w:eastAsia="zh-CN"/>
          </w:rPr>
          <m:t>[0.9</m:t>
        </m:r>
        <m:r>
          <m:rPr>
            <m:sty m:val="p"/>
          </m:rPr>
          <w:rPr>
            <w:rFonts w:hint="eastAsia" w:ascii="Cambria Math" w:hAnsi="Cambria Math" w:eastAsia="仿宋_GB2312"/>
            <w:color w:val="auto"/>
            <w:highlight w:val="none"/>
            <w:lang w:eastAsia="zh-CN"/>
          </w:rPr>
          <m:t>∑（</m:t>
        </m:r>
        <m:r>
          <m:rPr>
            <m:sty m:val="p"/>
          </m:rPr>
          <w:rPr>
            <w:rFonts w:hint="default" w:ascii="Cambria Math" w:hAnsi="Cambria Math" w:eastAsia="仿宋_GB2312"/>
            <w:color w:val="auto"/>
            <w:highlight w:val="none"/>
            <w:lang w:val="en-US" w:eastAsia="zh-CN"/>
          </w:rPr>
          <m:t>Ii</m:t>
        </m:r>
        <m:r>
          <m:rPr>
            <m:sty m:val="p"/>
          </m:rPr>
          <w:rPr>
            <w:rFonts w:ascii="Cambria Math" w:hAnsi="Cambria Math" w:eastAsia="仿宋_GB2312"/>
            <w:color w:val="auto"/>
            <w:highlight w:val="none"/>
            <w:lang w:val="en-US"/>
          </w:rPr>
          <m:t>×</m:t>
        </m:r>
        <m:r>
          <m:rPr>
            <m:sty m:val="p"/>
          </m:rPr>
          <w:rPr>
            <w:rFonts w:hint="default" w:ascii="Cambria Math" w:hAnsi="Cambria Math" w:eastAsia="仿宋_GB2312"/>
            <w:color w:val="auto"/>
            <w:highlight w:val="none"/>
            <w:lang w:val="en-US" w:eastAsia="zh-CN"/>
          </w:rPr>
          <m:t>Xi</m:t>
        </m:r>
        <m:r>
          <m:rPr>
            <m:sty m:val="p"/>
          </m:rPr>
          <w:rPr>
            <w:rFonts w:hint="eastAsia" w:ascii="Cambria Math" w:hAnsi="Cambria Math" w:eastAsia="仿宋_GB2312"/>
            <w:color w:val="auto"/>
            <w:highlight w:val="none"/>
            <w:lang w:eastAsia="zh-CN"/>
          </w:rPr>
          <m:t>）/∑</m:t>
        </m:r>
        <m:r>
          <m:rPr>
            <m:sty m:val="p"/>
          </m:rPr>
          <w:rPr>
            <w:rFonts w:hint="default" w:ascii="Cambria Math" w:hAnsi="Cambria Math" w:eastAsia="仿宋_GB2312"/>
            <w:color w:val="auto"/>
            <w:highlight w:val="none"/>
            <w:lang w:val="en-US" w:eastAsia="zh-CN"/>
          </w:rPr>
          <m:t>Ii+</m:t>
        </m:r>
        <m:r>
          <m:rPr>
            <m:sty m:val="p"/>
          </m:rPr>
          <w:rPr>
            <w:rFonts w:hint="eastAsia" w:ascii="Cambria Math" w:hAnsi="Cambria Math" w:eastAsia="仿宋_GB2312"/>
            <w:color w:val="auto"/>
            <w:highlight w:val="none"/>
            <w:lang w:eastAsia="zh-CN"/>
          </w:rPr>
          <m:t>0.1∑（Si×Xs）/∑Si ]×85%</m:t>
        </m:r>
      </m:oMath>
    </w:p>
    <w:p w14:paraId="0666C92D">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其中：Ii＝各必修课、专业限选课学分数、Si＝各选修课学分数（不含专业限选课），Xi＝必修课、专业限选课所得成绩、Xs=选修课（不含专业限选课）所得成绩，（均按百分制计算；按五级制计算时：优=95分；良=85分；中=75分；及格=65分；不及格=40分；成绩记载为两级制时，不计入课程学习成绩）。如上一学年无选修课，课程学习成绩＝</w:t>
      </w:r>
      <m:oMath>
        <m:r>
          <m:rPr>
            <m:sty m:val="p"/>
          </m:rPr>
          <w:rPr>
            <w:rFonts w:hint="default" w:ascii="Cambria Math" w:eastAsia="仿宋_GB2312"/>
            <w:color w:val="auto"/>
            <w:highlight w:val="none"/>
            <w:lang w:val="en-US" w:eastAsia="zh-CN"/>
          </w:rPr>
          <m:t>[</m:t>
        </m:r>
        <m:r>
          <m:rPr>
            <m:sty m:val="p"/>
          </m:rPr>
          <w:rPr>
            <w:rFonts w:hint="eastAsia" w:ascii="Cambria Math" w:hAnsi="Cambria Math" w:eastAsia="仿宋_GB2312"/>
            <w:color w:val="auto"/>
            <w:highlight w:val="none"/>
            <w:lang w:eastAsia="zh-CN"/>
          </w:rPr>
          <m:t>∑（</m:t>
        </m:r>
        <m:r>
          <m:rPr>
            <m:sty m:val="p"/>
          </m:rPr>
          <w:rPr>
            <w:rFonts w:hint="default" w:ascii="Cambria Math" w:hAnsi="Cambria Math" w:eastAsia="仿宋_GB2312"/>
            <w:color w:val="auto"/>
            <w:highlight w:val="none"/>
            <w:lang w:val="en-US" w:eastAsia="zh-CN"/>
          </w:rPr>
          <m:t>I</m:t>
        </m:r>
        <m:r>
          <m:rPr>
            <m:sty m:val="p"/>
          </m:rPr>
          <w:rPr>
            <w:rFonts w:hint="eastAsia" w:ascii="Cambria Math" w:hAnsi="Cambria Math" w:eastAsia="仿宋_GB2312"/>
            <w:color w:val="auto"/>
            <w:highlight w:val="none"/>
            <w:lang w:eastAsia="zh-CN"/>
          </w:rPr>
          <m:t>i×X</m:t>
        </m:r>
        <m:r>
          <m:rPr>
            <m:sty m:val="p"/>
          </m:rPr>
          <w:rPr>
            <w:rFonts w:hint="default" w:ascii="Cambria Math" w:hAnsi="Cambria Math" w:eastAsia="仿宋_GB2312"/>
            <w:color w:val="auto"/>
            <w:highlight w:val="none"/>
            <w:lang w:val="en-US" w:eastAsia="zh-CN"/>
          </w:rPr>
          <m:t>i</m:t>
        </m:r>
        <m:r>
          <m:rPr>
            <m:sty m:val="p"/>
          </m:rPr>
          <w:rPr>
            <w:rFonts w:hint="eastAsia" w:ascii="Cambria Math" w:hAnsi="Cambria Math" w:eastAsia="仿宋_GB2312"/>
            <w:color w:val="auto"/>
            <w:highlight w:val="none"/>
            <w:lang w:eastAsia="zh-CN"/>
          </w:rPr>
          <m:t>）/∑</m:t>
        </m:r>
        <m:r>
          <m:rPr>
            <m:sty m:val="p"/>
          </m:rPr>
          <w:rPr>
            <w:rFonts w:hint="default" w:ascii="Cambria Math" w:hAnsi="Cambria Math" w:eastAsia="仿宋_GB2312"/>
            <w:color w:val="auto"/>
            <w:highlight w:val="none"/>
            <w:lang w:val="en-US" w:eastAsia="zh-CN"/>
          </w:rPr>
          <m:t>I</m:t>
        </m:r>
        <m:r>
          <m:rPr>
            <m:sty m:val="p"/>
          </m:rPr>
          <w:rPr>
            <w:rFonts w:hint="eastAsia" w:ascii="Cambria Math" w:hAnsi="Cambria Math" w:eastAsia="仿宋_GB2312"/>
            <w:color w:val="auto"/>
            <w:highlight w:val="none"/>
            <w:lang w:eastAsia="zh-CN"/>
          </w:rPr>
          <m:t>i ]×85%</m:t>
        </m:r>
      </m:oMath>
      <w:r>
        <w:rPr>
          <w:rFonts w:hint="eastAsia" w:hAnsi="Cambria Math" w:eastAsia="仿宋_GB2312"/>
          <w:b w:val="0"/>
          <w:i w:val="0"/>
          <w:color w:val="auto"/>
          <w:highlight w:val="none"/>
          <w:lang w:eastAsia="zh-CN"/>
        </w:rPr>
        <w:t>。</w:t>
      </w:r>
    </w:p>
    <w:p w14:paraId="353C13B8">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缓考课程如开学三周内不能提供成绩的，成绩纳入下学年度考核。课程成绩计算时，补考、重修成绩以60分计，复修成绩不参与计算。</w:t>
      </w:r>
    </w:p>
    <w:p w14:paraId="0DF0ACF6">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（二）智育加分（15分）</w:t>
      </w:r>
    </w:p>
    <w:p w14:paraId="6D032E10">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1.凡参加学科竞赛取得各级奖励者按下表加分：</w:t>
      </w:r>
    </w:p>
    <w:tbl>
      <w:tblPr>
        <w:tblStyle w:val="5"/>
        <w:tblW w:w="81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1395"/>
        <w:gridCol w:w="1360"/>
        <w:gridCol w:w="1508"/>
        <w:gridCol w:w="2050"/>
      </w:tblGrid>
      <w:tr w14:paraId="1C30C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853" w:type="dxa"/>
            <w:tcBorders>
              <w:top w:val="single" w:color="auto" w:sz="8" w:space="0"/>
              <w:left w:val="single" w:color="auto" w:sz="8" w:space="0"/>
              <w:bottom w:val="single" w:color="auto" w:sz="4" w:space="0"/>
              <w:right w:val="single" w:color="auto" w:sz="4" w:space="0"/>
              <w:tl2br w:val="single" w:color="auto" w:sz="4" w:space="0"/>
            </w:tcBorders>
            <w:noWrap w:val="0"/>
            <w:vAlign w:val="top"/>
          </w:tcPr>
          <w:p w14:paraId="4899D19E">
            <w:pPr>
              <w:pageBreakBefore w:val="0"/>
              <w:kinsoku/>
              <w:wordWrap/>
              <w:overflowPunct/>
              <w:topLinePunct w:val="0"/>
              <w:autoSpaceDE/>
              <w:autoSpaceDN/>
              <w:bidi w:val="0"/>
              <w:adjustRightInd/>
              <w:snapToGrid/>
              <w:spacing w:line="360" w:lineRule="auto"/>
              <w:ind w:firstLine="1150" w:firstLineChars="5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分值</w:t>
            </w:r>
          </w:p>
          <w:p w14:paraId="003BAF11">
            <w:pPr>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级别</w:t>
            </w:r>
          </w:p>
        </w:tc>
        <w:tc>
          <w:tcPr>
            <w:tcW w:w="1395" w:type="dxa"/>
            <w:tcBorders>
              <w:top w:val="single" w:color="auto" w:sz="8" w:space="0"/>
              <w:left w:val="single" w:color="auto" w:sz="4" w:space="0"/>
              <w:bottom w:val="single" w:color="auto" w:sz="4" w:space="0"/>
              <w:right w:val="single" w:color="auto" w:sz="4" w:space="0"/>
            </w:tcBorders>
            <w:noWrap w:val="0"/>
            <w:vAlign w:val="center"/>
          </w:tcPr>
          <w:p w14:paraId="29F88E1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一等奖</w:t>
            </w:r>
          </w:p>
        </w:tc>
        <w:tc>
          <w:tcPr>
            <w:tcW w:w="1360" w:type="dxa"/>
            <w:tcBorders>
              <w:top w:val="single" w:color="auto" w:sz="8" w:space="0"/>
              <w:left w:val="single" w:color="auto" w:sz="4" w:space="0"/>
              <w:bottom w:val="single" w:color="auto" w:sz="4" w:space="0"/>
              <w:right w:val="single" w:color="auto" w:sz="4" w:space="0"/>
            </w:tcBorders>
            <w:noWrap w:val="0"/>
            <w:vAlign w:val="center"/>
          </w:tcPr>
          <w:p w14:paraId="5990EA8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二等奖</w:t>
            </w:r>
          </w:p>
        </w:tc>
        <w:tc>
          <w:tcPr>
            <w:tcW w:w="1508" w:type="dxa"/>
            <w:tcBorders>
              <w:top w:val="single" w:color="auto" w:sz="8" w:space="0"/>
              <w:left w:val="single" w:color="auto" w:sz="4" w:space="0"/>
              <w:bottom w:val="single" w:color="auto" w:sz="4" w:space="0"/>
              <w:right w:val="single" w:color="auto" w:sz="4" w:space="0"/>
            </w:tcBorders>
            <w:noWrap w:val="0"/>
            <w:vAlign w:val="center"/>
          </w:tcPr>
          <w:p w14:paraId="6CEDB35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三等奖</w:t>
            </w:r>
          </w:p>
        </w:tc>
        <w:tc>
          <w:tcPr>
            <w:tcW w:w="2050" w:type="dxa"/>
            <w:tcBorders>
              <w:top w:val="single" w:color="auto" w:sz="8" w:space="0"/>
              <w:left w:val="single" w:color="auto" w:sz="4" w:space="0"/>
              <w:bottom w:val="single" w:color="auto" w:sz="4" w:space="0"/>
              <w:right w:val="single" w:color="auto" w:sz="8" w:space="0"/>
            </w:tcBorders>
            <w:noWrap w:val="0"/>
            <w:vAlign w:val="center"/>
          </w:tcPr>
          <w:p w14:paraId="55CB5AE4">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鼓励奖/优秀奖</w:t>
            </w:r>
          </w:p>
        </w:tc>
      </w:tr>
      <w:tr w14:paraId="3E9E5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4" w:space="0"/>
              <w:right w:val="single" w:color="auto" w:sz="4" w:space="0"/>
            </w:tcBorders>
            <w:noWrap w:val="0"/>
            <w:vAlign w:val="top"/>
          </w:tcPr>
          <w:p w14:paraId="1FF8EFF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国家级</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53AF855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12</w:t>
            </w:r>
          </w:p>
        </w:tc>
        <w:tc>
          <w:tcPr>
            <w:tcW w:w="1360" w:type="dxa"/>
            <w:tcBorders>
              <w:top w:val="single" w:color="auto" w:sz="4" w:space="0"/>
              <w:left w:val="single" w:color="auto" w:sz="4" w:space="0"/>
              <w:bottom w:val="single" w:color="auto" w:sz="4" w:space="0"/>
              <w:right w:val="single" w:color="auto" w:sz="4" w:space="0"/>
            </w:tcBorders>
            <w:noWrap w:val="0"/>
            <w:vAlign w:val="top"/>
          </w:tcPr>
          <w:p w14:paraId="636F52D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10</w:t>
            </w:r>
          </w:p>
        </w:tc>
        <w:tc>
          <w:tcPr>
            <w:tcW w:w="1508" w:type="dxa"/>
            <w:tcBorders>
              <w:top w:val="single" w:color="auto" w:sz="4" w:space="0"/>
              <w:left w:val="single" w:color="auto" w:sz="4" w:space="0"/>
              <w:bottom w:val="single" w:color="auto" w:sz="4" w:space="0"/>
              <w:right w:val="single" w:color="auto" w:sz="4" w:space="0"/>
            </w:tcBorders>
            <w:noWrap w:val="0"/>
            <w:vAlign w:val="top"/>
          </w:tcPr>
          <w:p w14:paraId="22834E8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8</w:t>
            </w:r>
          </w:p>
        </w:tc>
        <w:tc>
          <w:tcPr>
            <w:tcW w:w="2050" w:type="dxa"/>
            <w:tcBorders>
              <w:top w:val="single" w:color="auto" w:sz="4" w:space="0"/>
              <w:left w:val="single" w:color="auto" w:sz="4" w:space="0"/>
              <w:bottom w:val="single" w:color="auto" w:sz="4" w:space="0"/>
              <w:right w:val="single" w:color="auto" w:sz="8" w:space="0"/>
            </w:tcBorders>
            <w:noWrap w:val="0"/>
            <w:vAlign w:val="top"/>
          </w:tcPr>
          <w:p w14:paraId="2B1A71B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5</w:t>
            </w:r>
          </w:p>
        </w:tc>
      </w:tr>
      <w:tr w14:paraId="113AA8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4" w:space="0"/>
              <w:right w:val="single" w:color="auto" w:sz="4" w:space="0"/>
            </w:tcBorders>
            <w:noWrap w:val="0"/>
            <w:vAlign w:val="top"/>
          </w:tcPr>
          <w:p w14:paraId="4298823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省部级</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1F8E87D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8</w:t>
            </w:r>
          </w:p>
        </w:tc>
        <w:tc>
          <w:tcPr>
            <w:tcW w:w="1360" w:type="dxa"/>
            <w:tcBorders>
              <w:top w:val="single" w:color="auto" w:sz="4" w:space="0"/>
              <w:left w:val="single" w:color="auto" w:sz="4" w:space="0"/>
              <w:bottom w:val="single" w:color="auto" w:sz="4" w:space="0"/>
              <w:right w:val="single" w:color="auto" w:sz="4" w:space="0"/>
            </w:tcBorders>
            <w:noWrap w:val="0"/>
            <w:vAlign w:val="top"/>
          </w:tcPr>
          <w:p w14:paraId="246D7BB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6</w:t>
            </w:r>
          </w:p>
        </w:tc>
        <w:tc>
          <w:tcPr>
            <w:tcW w:w="1508" w:type="dxa"/>
            <w:tcBorders>
              <w:top w:val="single" w:color="auto" w:sz="4" w:space="0"/>
              <w:left w:val="single" w:color="auto" w:sz="4" w:space="0"/>
              <w:bottom w:val="single" w:color="auto" w:sz="4" w:space="0"/>
              <w:right w:val="single" w:color="auto" w:sz="4" w:space="0"/>
            </w:tcBorders>
            <w:noWrap w:val="0"/>
            <w:vAlign w:val="top"/>
          </w:tcPr>
          <w:p w14:paraId="700A6CB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w:t>
            </w:r>
          </w:p>
        </w:tc>
        <w:tc>
          <w:tcPr>
            <w:tcW w:w="2050" w:type="dxa"/>
            <w:tcBorders>
              <w:top w:val="single" w:color="auto" w:sz="4" w:space="0"/>
              <w:left w:val="single" w:color="auto" w:sz="4" w:space="0"/>
              <w:bottom w:val="single" w:color="auto" w:sz="4" w:space="0"/>
              <w:right w:val="single" w:color="auto" w:sz="8" w:space="0"/>
            </w:tcBorders>
            <w:noWrap w:val="0"/>
            <w:vAlign w:val="top"/>
          </w:tcPr>
          <w:p w14:paraId="2D671B9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w:t>
            </w:r>
          </w:p>
        </w:tc>
      </w:tr>
      <w:tr w14:paraId="465815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8" w:space="0"/>
              <w:right w:val="single" w:color="auto" w:sz="4" w:space="0"/>
            </w:tcBorders>
            <w:noWrap w:val="0"/>
            <w:vAlign w:val="top"/>
          </w:tcPr>
          <w:p w14:paraId="5372EAD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校级</w:t>
            </w:r>
          </w:p>
        </w:tc>
        <w:tc>
          <w:tcPr>
            <w:tcW w:w="1395" w:type="dxa"/>
            <w:tcBorders>
              <w:top w:val="single" w:color="auto" w:sz="4" w:space="0"/>
              <w:left w:val="single" w:color="auto" w:sz="4" w:space="0"/>
              <w:bottom w:val="single" w:color="auto" w:sz="8" w:space="0"/>
              <w:right w:val="single" w:color="auto" w:sz="4" w:space="0"/>
            </w:tcBorders>
            <w:noWrap w:val="0"/>
            <w:vAlign w:val="top"/>
          </w:tcPr>
          <w:p w14:paraId="1913A584">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w:t>
            </w:r>
          </w:p>
        </w:tc>
        <w:tc>
          <w:tcPr>
            <w:tcW w:w="1360" w:type="dxa"/>
            <w:tcBorders>
              <w:top w:val="single" w:color="auto" w:sz="4" w:space="0"/>
              <w:left w:val="single" w:color="auto" w:sz="4" w:space="0"/>
              <w:bottom w:val="single" w:color="auto" w:sz="8" w:space="0"/>
              <w:right w:val="single" w:color="auto" w:sz="4" w:space="0"/>
            </w:tcBorders>
            <w:noWrap w:val="0"/>
            <w:vAlign w:val="top"/>
          </w:tcPr>
          <w:p w14:paraId="49D5E2D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w:t>
            </w:r>
          </w:p>
        </w:tc>
        <w:tc>
          <w:tcPr>
            <w:tcW w:w="1508" w:type="dxa"/>
            <w:tcBorders>
              <w:top w:val="single" w:color="auto" w:sz="4" w:space="0"/>
              <w:left w:val="single" w:color="auto" w:sz="4" w:space="0"/>
              <w:bottom w:val="single" w:color="auto" w:sz="8" w:space="0"/>
              <w:right w:val="single" w:color="auto" w:sz="4" w:space="0"/>
            </w:tcBorders>
            <w:noWrap w:val="0"/>
            <w:vAlign w:val="top"/>
          </w:tcPr>
          <w:p w14:paraId="35AE582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w:t>
            </w:r>
          </w:p>
        </w:tc>
        <w:tc>
          <w:tcPr>
            <w:tcW w:w="2050" w:type="dxa"/>
            <w:tcBorders>
              <w:top w:val="single" w:color="auto" w:sz="4" w:space="0"/>
              <w:left w:val="single" w:color="auto" w:sz="4" w:space="0"/>
              <w:bottom w:val="single" w:color="auto" w:sz="8" w:space="0"/>
              <w:right w:val="single" w:color="auto" w:sz="8" w:space="0"/>
            </w:tcBorders>
            <w:noWrap w:val="0"/>
            <w:vAlign w:val="top"/>
          </w:tcPr>
          <w:p w14:paraId="69F7A38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w:t>
            </w:r>
          </w:p>
        </w:tc>
      </w:tr>
    </w:tbl>
    <w:p w14:paraId="2044A327">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p>
    <w:p w14:paraId="1BFC6A2E">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2.相关成果和奖项应为当年综合测评周期内获得</w:t>
      </w:r>
      <w:r>
        <w:rPr>
          <w:rFonts w:hint="eastAsia" w:ascii="仿宋_GB2312" w:eastAsia="仿宋_GB2312"/>
          <w:color w:val="auto"/>
          <w:highlight w:val="none"/>
          <w:lang w:val="en-US" w:eastAsia="zh-CN"/>
        </w:rPr>
        <w:t>，</w:t>
      </w:r>
      <w:r>
        <w:rPr>
          <w:rFonts w:hint="eastAsia" w:ascii="仿宋_GB2312" w:eastAsia="仿宋_GB2312"/>
          <w:color w:val="auto"/>
          <w:highlight w:val="none"/>
          <w:lang w:eastAsia="zh-CN"/>
        </w:rPr>
        <w:t>所有加分项统计时间为上一次综合测评加分统计项截止时间至计算综合测评时该学期8月31日。</w:t>
      </w:r>
    </w:p>
    <w:p w14:paraId="438D2336">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w:t>
      </w:r>
      <w:bookmarkStart w:id="5" w:name="_Hlk168565334"/>
      <w:r>
        <w:rPr>
          <w:rFonts w:hint="eastAsia" w:ascii="仿宋_GB2312" w:eastAsia="仿宋_GB2312"/>
          <w:color w:val="auto"/>
          <w:highlight w:val="none"/>
          <w:lang w:eastAsia="zh-CN"/>
        </w:rPr>
        <w:t>赛事级别以当年教务处认定发布的《中国石油大学（北京）大学生竞赛清单》规定为准</w:t>
      </w:r>
      <w:bookmarkEnd w:id="5"/>
      <w:r>
        <w:rPr>
          <w:rFonts w:hint="eastAsia" w:ascii="仿宋_GB2312" w:eastAsia="仿宋_GB2312"/>
          <w:color w:val="auto"/>
          <w:highlight w:val="none"/>
          <w:lang w:eastAsia="zh-CN"/>
        </w:rPr>
        <w:t>。获奖以证书为准，同一项目仅取最高奖励级别加分。</w:t>
      </w:r>
    </w:p>
    <w:p w14:paraId="2036397F">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4.A级赛事加分系数为1.5；B级赛事加分系数为1.0；C级赛事加分系数为0.5；D级赛事加分系数为0.3。</w:t>
      </w:r>
    </w:p>
    <w:p w14:paraId="7B93F6B3">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5.A级赛事中如设有特等奖，特等奖等同一等奖，一等奖等同二等奖，以此类推，三等奖（铜奖）按照省部级一等奖（金奖）加分，该赛事省部级一等奖（金奖）加分减半。B级赛事中如设有特等奖且仅有唯一项目获得特等奖，则该赛事特等奖加分系数为1.2，一等奖加分不变；其他特等奖等同一等奖，一等奖等同二等奖，以此类推。</w:t>
      </w:r>
    </w:p>
    <w:p w14:paraId="6A70C6D1">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bookmarkStart w:id="6" w:name="_Hlk168581213"/>
      <w:r>
        <w:rPr>
          <w:rFonts w:hint="eastAsia" w:ascii="仿宋_GB2312" w:eastAsia="仿宋_GB2312"/>
          <w:color w:val="auto"/>
          <w:highlight w:val="none"/>
          <w:lang w:eastAsia="zh-CN"/>
        </w:rPr>
        <w:t>6.竞赛项目个人参加者可获得对应级别加分，组队参加者分以下两种情况：（1）项目不设队长，所有成员按对应级别加分的1/2加分；（2）项目设队长，队长按对应级别加分的2/3加分，其他成员按对应级别加分的1/2加分。</w:t>
      </w:r>
    </w:p>
    <w:bookmarkEnd w:id="6"/>
    <w:p w14:paraId="5BE2A71A">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7.每人获多个奖项的，各项分值可累加，但校级赛事加分上限不超过10分。</w:t>
      </w:r>
    </w:p>
    <w:p w14:paraId="05C2E4C3">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8.以第一负责人主持国家级大学生创新创业训练计划项目并结题，限1项，加5分。</w:t>
      </w:r>
    </w:p>
    <w:p w14:paraId="5652AAB0">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9.学校推荐参加的竞赛（如：网络知识竞赛、环保知识竞赛等）一律按校级鼓励奖加分,赋分1分，每年限加5项，学校推荐参加的竞赛是指学院公众号、辅导员等通知推荐的。其他由普通公司举办的各类比赛均不予赋分，如有由行业顶级公司或其他优秀单位举办的比赛，在提交比赛相关材料后，由理学院本科生综合测评领导小组统一认定，方予以加分。</w:t>
      </w:r>
    </w:p>
    <w:p w14:paraId="22BAEAAB">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val="en-US" w:eastAsia="zh-CN"/>
        </w:rPr>
        <w:t>10.</w:t>
      </w:r>
      <w:r>
        <w:rPr>
          <w:rFonts w:hint="eastAsia" w:ascii="仿宋_GB2312" w:eastAsia="仿宋_GB2312"/>
          <w:color w:val="auto"/>
          <w:highlight w:val="none"/>
          <w:lang w:eastAsia="zh-CN"/>
        </w:rPr>
        <w:t>申请加分需向班级测评小组提交成果原件及复印件等充分的佐证材料，且进行公示、接受监督。</w:t>
      </w:r>
    </w:p>
    <w:p w14:paraId="1EA011AB">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val="en-US" w:eastAsia="zh-CN"/>
        </w:rPr>
        <w:t>11.</w:t>
      </w:r>
      <w:r>
        <w:rPr>
          <w:rFonts w:hint="eastAsia" w:ascii="仿宋_GB2312" w:eastAsia="仿宋_GB2312"/>
          <w:color w:val="auto"/>
          <w:highlight w:val="none"/>
          <w:lang w:eastAsia="zh-CN"/>
        </w:rPr>
        <w:t>凡</w:t>
      </w:r>
      <w:r>
        <w:rPr>
          <w:rFonts w:hint="eastAsia" w:ascii="仿宋_GB2312" w:eastAsia="仿宋_GB2312"/>
          <w:color w:val="auto"/>
          <w:highlight w:val="none"/>
          <w:lang w:val="en-US" w:eastAsia="zh-CN"/>
        </w:rPr>
        <w:t>有科研成果、参加学术会议、获得学术奖项等</w:t>
      </w:r>
      <w:r>
        <w:rPr>
          <w:rFonts w:hint="eastAsia" w:ascii="仿宋_GB2312" w:eastAsia="仿宋_GB2312"/>
          <w:color w:val="auto"/>
          <w:highlight w:val="none"/>
          <w:lang w:eastAsia="zh-CN"/>
        </w:rPr>
        <w:t>按下表加分</w:t>
      </w:r>
    </w:p>
    <w:p w14:paraId="2DFF071C">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发表与本人所学专业有关的学术论文、获得专利授权、获得软件著作权等，按以下规定加分：</w:t>
      </w:r>
    </w:p>
    <w:p w14:paraId="09808D7F">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以下内容必须是中国石油大学（北京）为第一单位；没有明显体现中国石油大学（北京）为成果单位的，不予加分。</w:t>
      </w:r>
    </w:p>
    <w:p w14:paraId="17FBCA53">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参与者均为学生的，排名第一的学生得分为1/2*该项目所得分，其他人员分享剩余的1/2*该项目所得分；两学生共同一作，排序第一、二分别得2/5、3/10*该项目所得分（共同一作人数＞2，共同一作排序第一得2/5*该项目所得分，其他共同一作分享3/10*该项目所得分，原则上排序靠前者分享得分大于或等于排序靠后者分享得分）；校内指导教师（企业指导教师）与学生共同一作，如果学生排序第一，得分为2/5*该项目所得分，如果学生排序第二，得3/10*该项目所得分，其他人分享3/10*该项目所得分；校内指导教师（企业指导教师）为第一作者、学生为第二作者的，第二作者得分为2/5*该项目所得分，其他人员分享1/10*该项目所得分；校内指导教师（企业指导教师）为第一作者、第二作者的，学生分享1/10*该项目所得分。</w:t>
      </w:r>
    </w:p>
    <w:p w14:paraId="3BC02B14">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CN"/>
        </w:rPr>
        <w:t>①</w:t>
      </w:r>
      <w:r>
        <w:rPr>
          <w:rFonts w:hint="eastAsia" w:ascii="仿宋_GB2312" w:eastAsia="仿宋_GB2312"/>
          <w:color w:val="auto"/>
          <w:highlight w:val="none"/>
          <w:lang w:val="en-US" w:eastAsia="zh-Hans"/>
        </w:rPr>
        <w:t>发表文章，按下表加分：</w:t>
      </w:r>
    </w:p>
    <w:p w14:paraId="4AF48B2A">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Hans"/>
        </w:rPr>
        <w:t>论文分区依据JCR大类分区，取近三年最高分区；</w:t>
      </w:r>
    </w:p>
    <w:tbl>
      <w:tblPr>
        <w:tblStyle w:val="5"/>
        <w:tblW w:w="0" w:type="auto"/>
        <w:jc w:val="center"/>
        <w:tblLayout w:type="autofit"/>
        <w:tblCellMar>
          <w:top w:w="60" w:type="dxa"/>
          <w:left w:w="60" w:type="dxa"/>
          <w:bottom w:w="60" w:type="dxa"/>
          <w:right w:w="60" w:type="dxa"/>
        </w:tblCellMar>
      </w:tblPr>
      <w:tblGrid>
        <w:gridCol w:w="6698"/>
        <w:gridCol w:w="1089"/>
      </w:tblGrid>
      <w:tr w14:paraId="616CFC51">
        <w:tblPrEx>
          <w:tblCellMar>
            <w:top w:w="60" w:type="dxa"/>
            <w:left w:w="60" w:type="dxa"/>
            <w:bottom w:w="60" w:type="dxa"/>
            <w:right w:w="60" w:type="dxa"/>
          </w:tblCellMar>
        </w:tblPrEx>
        <w:trPr>
          <w:trHeight w:val="279" w:hRule="atLeast"/>
          <w:jc w:val="center"/>
        </w:trPr>
        <w:tc>
          <w:tcPr>
            <w:tcW w:w="669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23A464">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论文类别</w:t>
            </w:r>
          </w:p>
        </w:tc>
        <w:tc>
          <w:tcPr>
            <w:tcW w:w="10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7D23CAC">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加分</w:t>
            </w:r>
          </w:p>
        </w:tc>
      </w:tr>
      <w:tr w14:paraId="09DCDA26">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A5FB22">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JCR 1区文章（大类分区）</w:t>
            </w:r>
          </w:p>
        </w:tc>
        <w:tc>
          <w:tcPr>
            <w:tcW w:w="1089" w:type="dxa"/>
            <w:tcBorders>
              <w:top w:val="nil"/>
              <w:left w:val="nil"/>
              <w:bottom w:val="single" w:color="auto" w:sz="8" w:space="0"/>
              <w:right w:val="single" w:color="auto" w:sz="8" w:space="0"/>
            </w:tcBorders>
            <w:tcMar>
              <w:top w:w="0" w:type="dxa"/>
              <w:left w:w="108" w:type="dxa"/>
              <w:bottom w:w="0" w:type="dxa"/>
              <w:right w:w="108" w:type="dxa"/>
            </w:tcMar>
            <w:vAlign w:val="center"/>
          </w:tcPr>
          <w:p w14:paraId="574AAB01">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50</w:t>
            </w:r>
          </w:p>
        </w:tc>
      </w:tr>
      <w:tr w14:paraId="1940E713">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28678B">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JCR 2区文章（大类分区）</w:t>
            </w:r>
          </w:p>
        </w:tc>
        <w:tc>
          <w:tcPr>
            <w:tcW w:w="1089" w:type="dxa"/>
            <w:tcBorders>
              <w:top w:val="nil"/>
              <w:left w:val="nil"/>
              <w:bottom w:val="single" w:color="auto" w:sz="8" w:space="0"/>
              <w:right w:val="single" w:color="auto" w:sz="8" w:space="0"/>
            </w:tcBorders>
            <w:tcMar>
              <w:top w:w="0" w:type="dxa"/>
              <w:left w:w="108" w:type="dxa"/>
              <w:bottom w:w="0" w:type="dxa"/>
              <w:right w:w="108" w:type="dxa"/>
            </w:tcMar>
            <w:vAlign w:val="center"/>
          </w:tcPr>
          <w:p w14:paraId="66D3D3BA">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30</w:t>
            </w:r>
          </w:p>
        </w:tc>
      </w:tr>
      <w:tr w14:paraId="37624C90">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CC2FC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JCR 3区文章（大类分区）</w:t>
            </w:r>
          </w:p>
        </w:tc>
        <w:tc>
          <w:tcPr>
            <w:tcW w:w="1089" w:type="dxa"/>
            <w:tcBorders>
              <w:top w:val="nil"/>
              <w:left w:val="nil"/>
              <w:bottom w:val="single" w:color="auto" w:sz="8" w:space="0"/>
              <w:right w:val="single" w:color="auto" w:sz="8" w:space="0"/>
            </w:tcBorders>
            <w:tcMar>
              <w:top w:w="0" w:type="dxa"/>
              <w:left w:w="108" w:type="dxa"/>
              <w:bottom w:w="0" w:type="dxa"/>
              <w:right w:w="108" w:type="dxa"/>
            </w:tcMar>
            <w:vAlign w:val="center"/>
          </w:tcPr>
          <w:p w14:paraId="649BEBA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15</w:t>
            </w:r>
          </w:p>
        </w:tc>
      </w:tr>
      <w:tr w14:paraId="3E5D001E">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E054C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JCR 4区文章（大类分区）</w:t>
            </w:r>
          </w:p>
        </w:tc>
        <w:tc>
          <w:tcPr>
            <w:tcW w:w="1089" w:type="dxa"/>
            <w:tcBorders>
              <w:top w:val="nil"/>
              <w:left w:val="nil"/>
              <w:bottom w:val="single" w:color="auto" w:sz="8" w:space="0"/>
              <w:right w:val="single" w:color="auto" w:sz="8" w:space="0"/>
            </w:tcBorders>
            <w:tcMar>
              <w:top w:w="0" w:type="dxa"/>
              <w:left w:w="108" w:type="dxa"/>
              <w:bottom w:w="0" w:type="dxa"/>
              <w:right w:w="108" w:type="dxa"/>
            </w:tcMar>
            <w:vAlign w:val="center"/>
          </w:tcPr>
          <w:p w14:paraId="22CD6A4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10</w:t>
            </w:r>
          </w:p>
        </w:tc>
      </w:tr>
      <w:tr w14:paraId="704287D9">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12F79D16">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被SCI收录的正式期刊（不包括增刊）文章</w:t>
            </w:r>
          </w:p>
        </w:tc>
        <w:tc>
          <w:tcPr>
            <w:tcW w:w="1089" w:type="dxa"/>
            <w:tcBorders>
              <w:top w:val="nil"/>
              <w:left w:val="nil"/>
              <w:bottom w:val="single" w:color="auto" w:sz="4" w:space="0"/>
              <w:right w:val="single" w:color="auto" w:sz="8" w:space="0"/>
            </w:tcBorders>
            <w:tcMar>
              <w:top w:w="0" w:type="dxa"/>
              <w:left w:w="108" w:type="dxa"/>
              <w:bottom w:w="0" w:type="dxa"/>
              <w:right w:w="108" w:type="dxa"/>
            </w:tcMar>
            <w:vAlign w:val="center"/>
          </w:tcPr>
          <w:p w14:paraId="6B82D4F8">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8</w:t>
            </w:r>
          </w:p>
        </w:tc>
      </w:tr>
      <w:tr w14:paraId="3889BAF8">
        <w:tblPrEx>
          <w:tblCellMar>
            <w:top w:w="60" w:type="dxa"/>
            <w:left w:w="60" w:type="dxa"/>
            <w:bottom w:w="60" w:type="dxa"/>
            <w:right w:w="60" w:type="dxa"/>
          </w:tblCellMar>
        </w:tblPrEx>
        <w:trPr>
          <w:jc w:val="center"/>
        </w:trPr>
        <w:tc>
          <w:tcPr>
            <w:tcW w:w="6698"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0A343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EI文章</w:t>
            </w:r>
          </w:p>
        </w:tc>
        <w:tc>
          <w:tcPr>
            <w:tcW w:w="1089"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14:paraId="0D0A096C">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6</w:t>
            </w:r>
          </w:p>
        </w:tc>
      </w:tr>
      <w:tr w14:paraId="0A0DE60E">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4F3D2F">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在中文核心期刊要目总揽、中文科技论文统计源刊物上发表</w:t>
            </w:r>
          </w:p>
        </w:tc>
        <w:tc>
          <w:tcPr>
            <w:tcW w:w="1089" w:type="dxa"/>
            <w:tcBorders>
              <w:top w:val="nil"/>
              <w:left w:val="nil"/>
              <w:bottom w:val="single" w:color="auto" w:sz="8" w:space="0"/>
              <w:right w:val="single" w:color="auto" w:sz="8" w:space="0"/>
            </w:tcBorders>
            <w:tcMar>
              <w:top w:w="0" w:type="dxa"/>
              <w:left w:w="108" w:type="dxa"/>
              <w:bottom w:w="0" w:type="dxa"/>
              <w:right w:w="108" w:type="dxa"/>
            </w:tcMar>
            <w:vAlign w:val="center"/>
          </w:tcPr>
          <w:p w14:paraId="3CEEC658">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4</w:t>
            </w:r>
          </w:p>
        </w:tc>
      </w:tr>
      <w:tr w14:paraId="16D9E915">
        <w:tblPrEx>
          <w:tblCellMar>
            <w:top w:w="60" w:type="dxa"/>
            <w:left w:w="60" w:type="dxa"/>
            <w:bottom w:w="60" w:type="dxa"/>
            <w:right w:w="60" w:type="dxa"/>
          </w:tblCellMar>
        </w:tblPrEx>
        <w:trPr>
          <w:jc w:val="center"/>
        </w:trPr>
        <w:tc>
          <w:tcPr>
            <w:tcW w:w="669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FAA6BA">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其它公开出版的刊物上（有正式刊号）发表</w:t>
            </w:r>
          </w:p>
        </w:tc>
        <w:tc>
          <w:tcPr>
            <w:tcW w:w="1089" w:type="dxa"/>
            <w:tcBorders>
              <w:top w:val="nil"/>
              <w:left w:val="nil"/>
              <w:bottom w:val="single" w:color="auto" w:sz="8" w:space="0"/>
              <w:right w:val="single" w:color="auto" w:sz="8" w:space="0"/>
            </w:tcBorders>
            <w:tcMar>
              <w:top w:w="0" w:type="dxa"/>
              <w:left w:w="108" w:type="dxa"/>
              <w:bottom w:w="0" w:type="dxa"/>
              <w:right w:w="108" w:type="dxa"/>
            </w:tcMar>
            <w:vAlign w:val="center"/>
          </w:tcPr>
          <w:p w14:paraId="0F666DE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2</w:t>
            </w:r>
          </w:p>
        </w:tc>
      </w:tr>
    </w:tbl>
    <w:p w14:paraId="4AA360E0">
      <w:pPr>
        <w:pStyle w:val="4"/>
        <w:pageBreakBefore w:val="0"/>
        <w:widowControl/>
        <w:kinsoku/>
        <w:wordWrap/>
        <w:overflowPunct/>
        <w:topLinePunct w:val="0"/>
        <w:autoSpaceDE/>
        <w:autoSpaceDN/>
        <w:bidi w:val="0"/>
        <w:adjustRightInd/>
        <w:snapToGrid/>
        <w:spacing w:beforeAutospacing="0" w:after="0" w:afterAutospacing="0" w:line="360" w:lineRule="auto"/>
        <w:ind w:left="0" w:right="0" w:firstLine="360"/>
        <w:textAlignment w:val="auto"/>
        <w:rPr>
          <w:rFonts w:hint="eastAsia" w:ascii="仿宋_GB2312" w:eastAsia="仿宋_GB2312"/>
          <w:color w:val="auto"/>
          <w:lang w:val="en-US" w:eastAsia="zh-Hans"/>
        </w:rPr>
      </w:pPr>
    </w:p>
    <w:p w14:paraId="21C8AAF4">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CN"/>
        </w:rPr>
        <w:t>②</w:t>
      </w:r>
      <w:r>
        <w:rPr>
          <w:rFonts w:hint="eastAsia" w:ascii="仿宋_GB2312" w:eastAsia="仿宋_GB2312"/>
          <w:color w:val="auto"/>
          <w:highlight w:val="none"/>
          <w:lang w:val="en-US" w:eastAsia="zh-Hans"/>
        </w:rPr>
        <w:t>获得本人所学专业有关的专利，按下表加分：</w:t>
      </w:r>
    </w:p>
    <w:tbl>
      <w:tblPr>
        <w:tblStyle w:val="5"/>
        <w:tblW w:w="0" w:type="auto"/>
        <w:jc w:val="center"/>
        <w:tblLayout w:type="autofit"/>
        <w:tblCellMar>
          <w:top w:w="60" w:type="dxa"/>
          <w:left w:w="60" w:type="dxa"/>
          <w:bottom w:w="60" w:type="dxa"/>
          <w:right w:w="60" w:type="dxa"/>
        </w:tblCellMar>
      </w:tblPr>
      <w:tblGrid>
        <w:gridCol w:w="3793"/>
        <w:gridCol w:w="3994"/>
      </w:tblGrid>
      <w:tr w14:paraId="6C122299">
        <w:tblPrEx>
          <w:tblCellMar>
            <w:top w:w="60" w:type="dxa"/>
            <w:left w:w="60" w:type="dxa"/>
            <w:bottom w:w="60" w:type="dxa"/>
            <w:right w:w="60" w:type="dxa"/>
          </w:tblCellMar>
        </w:tblPrEx>
        <w:trPr>
          <w:jc w:val="center"/>
        </w:trPr>
        <w:tc>
          <w:tcPr>
            <w:tcW w:w="379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2E6CDD">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专利类型</w:t>
            </w:r>
          </w:p>
        </w:tc>
        <w:tc>
          <w:tcPr>
            <w:tcW w:w="39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B566382">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加分</w:t>
            </w:r>
          </w:p>
        </w:tc>
      </w:tr>
      <w:tr w14:paraId="43B72C4E">
        <w:tblPrEx>
          <w:tblCellMar>
            <w:top w:w="60" w:type="dxa"/>
            <w:left w:w="60" w:type="dxa"/>
            <w:bottom w:w="60" w:type="dxa"/>
            <w:right w:w="60" w:type="dxa"/>
          </w:tblCellMar>
        </w:tblPrEx>
        <w:trPr>
          <w:jc w:val="center"/>
        </w:trPr>
        <w:tc>
          <w:tcPr>
            <w:tcW w:w="37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6C2348">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获得国际发明专利授权</w:t>
            </w:r>
          </w:p>
        </w:tc>
        <w:tc>
          <w:tcPr>
            <w:tcW w:w="3994" w:type="dxa"/>
            <w:tcBorders>
              <w:top w:val="nil"/>
              <w:left w:val="nil"/>
              <w:bottom w:val="single" w:color="auto" w:sz="8" w:space="0"/>
              <w:right w:val="single" w:color="auto" w:sz="8" w:space="0"/>
            </w:tcBorders>
            <w:tcMar>
              <w:top w:w="0" w:type="dxa"/>
              <w:left w:w="108" w:type="dxa"/>
              <w:bottom w:w="0" w:type="dxa"/>
              <w:right w:w="108" w:type="dxa"/>
            </w:tcMar>
            <w:vAlign w:val="center"/>
          </w:tcPr>
          <w:p w14:paraId="113C899A">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30</w:t>
            </w:r>
          </w:p>
        </w:tc>
      </w:tr>
      <w:tr w14:paraId="25AFCE59">
        <w:tblPrEx>
          <w:tblCellMar>
            <w:top w:w="60" w:type="dxa"/>
            <w:left w:w="60" w:type="dxa"/>
            <w:bottom w:w="60" w:type="dxa"/>
            <w:right w:w="60" w:type="dxa"/>
          </w:tblCellMar>
        </w:tblPrEx>
        <w:trPr>
          <w:jc w:val="center"/>
        </w:trPr>
        <w:tc>
          <w:tcPr>
            <w:tcW w:w="37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BAF6F1">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获得国家发明专利授权</w:t>
            </w:r>
          </w:p>
        </w:tc>
        <w:tc>
          <w:tcPr>
            <w:tcW w:w="3994" w:type="dxa"/>
            <w:tcBorders>
              <w:top w:val="nil"/>
              <w:left w:val="nil"/>
              <w:bottom w:val="single" w:color="auto" w:sz="8" w:space="0"/>
              <w:right w:val="single" w:color="auto" w:sz="8" w:space="0"/>
            </w:tcBorders>
            <w:tcMar>
              <w:top w:w="0" w:type="dxa"/>
              <w:left w:w="108" w:type="dxa"/>
              <w:bottom w:w="0" w:type="dxa"/>
              <w:right w:w="108" w:type="dxa"/>
            </w:tcMar>
            <w:vAlign w:val="center"/>
          </w:tcPr>
          <w:p w14:paraId="16147C34">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15</w:t>
            </w:r>
          </w:p>
        </w:tc>
      </w:tr>
      <w:tr w14:paraId="13D2215D">
        <w:tblPrEx>
          <w:tblCellMar>
            <w:top w:w="60" w:type="dxa"/>
            <w:left w:w="60" w:type="dxa"/>
            <w:bottom w:w="60" w:type="dxa"/>
            <w:right w:w="60" w:type="dxa"/>
          </w:tblCellMar>
        </w:tblPrEx>
        <w:trPr>
          <w:jc w:val="center"/>
        </w:trPr>
        <w:tc>
          <w:tcPr>
            <w:tcW w:w="379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5B1552">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获得国家实用新型专利授权</w:t>
            </w:r>
          </w:p>
        </w:tc>
        <w:tc>
          <w:tcPr>
            <w:tcW w:w="3994" w:type="dxa"/>
            <w:tcBorders>
              <w:top w:val="nil"/>
              <w:left w:val="nil"/>
              <w:bottom w:val="single" w:color="auto" w:sz="8" w:space="0"/>
              <w:right w:val="single" w:color="auto" w:sz="8" w:space="0"/>
            </w:tcBorders>
            <w:tcMar>
              <w:top w:w="0" w:type="dxa"/>
              <w:left w:w="108" w:type="dxa"/>
              <w:bottom w:w="0" w:type="dxa"/>
              <w:right w:w="108" w:type="dxa"/>
            </w:tcMar>
            <w:vAlign w:val="center"/>
          </w:tcPr>
          <w:p w14:paraId="43A3B166">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5</w:t>
            </w:r>
          </w:p>
        </w:tc>
      </w:tr>
    </w:tbl>
    <w:p w14:paraId="643F527C">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Hans"/>
        </w:rPr>
        <w:t>申请并获得专利公开号但未获得专利号的，则按规定分值的1/2加分。</w:t>
      </w:r>
    </w:p>
    <w:p w14:paraId="2C0F1753">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Hans"/>
        </w:rPr>
        <w:t>以中国石油大学（北京）为唯一署名单位获得注册软件版权者加10分。该项成果的作者中须有导师，否则不予加分。</w:t>
      </w:r>
    </w:p>
    <w:p w14:paraId="73C9181C">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p>
    <w:p w14:paraId="7E680E1C">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CN"/>
        </w:rPr>
        <w:t>③</w:t>
      </w:r>
      <w:r>
        <w:rPr>
          <w:rFonts w:hint="eastAsia" w:ascii="仿宋_GB2312" w:eastAsia="仿宋_GB2312"/>
          <w:color w:val="auto"/>
          <w:highlight w:val="none"/>
          <w:lang w:val="en-US" w:eastAsia="zh-Hans"/>
        </w:rPr>
        <w:t>学术会议，按下表加分：</w:t>
      </w:r>
    </w:p>
    <w:tbl>
      <w:tblPr>
        <w:tblStyle w:val="5"/>
        <w:tblW w:w="0" w:type="auto"/>
        <w:jc w:val="center"/>
        <w:tblLayout w:type="autofit"/>
        <w:tblCellMar>
          <w:top w:w="60" w:type="dxa"/>
          <w:left w:w="60" w:type="dxa"/>
          <w:bottom w:w="60" w:type="dxa"/>
          <w:right w:w="60" w:type="dxa"/>
        </w:tblCellMar>
      </w:tblPr>
      <w:tblGrid>
        <w:gridCol w:w="4426"/>
        <w:gridCol w:w="3077"/>
      </w:tblGrid>
      <w:tr w14:paraId="1E497BBE">
        <w:tblPrEx>
          <w:tblCellMar>
            <w:top w:w="60" w:type="dxa"/>
            <w:left w:w="60" w:type="dxa"/>
            <w:bottom w:w="60" w:type="dxa"/>
            <w:right w:w="60" w:type="dxa"/>
          </w:tblCellMar>
        </w:tblPrEx>
        <w:trPr>
          <w:jc w:val="center"/>
        </w:trPr>
        <w:tc>
          <w:tcPr>
            <w:tcW w:w="442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6592BE">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会议级别</w:t>
            </w:r>
          </w:p>
        </w:tc>
        <w:tc>
          <w:tcPr>
            <w:tcW w:w="30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D31A0C6">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加分</w:t>
            </w:r>
          </w:p>
        </w:tc>
      </w:tr>
      <w:tr w14:paraId="6520FB1E">
        <w:tblPrEx>
          <w:tblCellMar>
            <w:top w:w="60" w:type="dxa"/>
            <w:left w:w="60" w:type="dxa"/>
            <w:bottom w:w="60" w:type="dxa"/>
            <w:right w:w="60" w:type="dxa"/>
          </w:tblCellMar>
        </w:tblPrEx>
        <w:trPr>
          <w:jc w:val="center"/>
        </w:trPr>
        <w:tc>
          <w:tcPr>
            <w:tcW w:w="44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7A189F">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国际会议</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396940">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5</w:t>
            </w:r>
          </w:p>
        </w:tc>
      </w:tr>
      <w:tr w14:paraId="17A7E1DE">
        <w:tblPrEx>
          <w:tblCellMar>
            <w:top w:w="60" w:type="dxa"/>
            <w:left w:w="60" w:type="dxa"/>
            <w:bottom w:w="60" w:type="dxa"/>
            <w:right w:w="60" w:type="dxa"/>
          </w:tblCellMar>
        </w:tblPrEx>
        <w:trPr>
          <w:jc w:val="center"/>
        </w:trPr>
        <w:tc>
          <w:tcPr>
            <w:tcW w:w="44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D0A7BC">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国家级</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AE0DEC2">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3</w:t>
            </w:r>
          </w:p>
        </w:tc>
      </w:tr>
      <w:tr w14:paraId="3BC69F59">
        <w:tblPrEx>
          <w:tblCellMar>
            <w:top w:w="60" w:type="dxa"/>
            <w:left w:w="60" w:type="dxa"/>
            <w:bottom w:w="60" w:type="dxa"/>
            <w:right w:w="60" w:type="dxa"/>
          </w:tblCellMar>
        </w:tblPrEx>
        <w:trPr>
          <w:jc w:val="center"/>
        </w:trPr>
        <w:tc>
          <w:tcPr>
            <w:tcW w:w="442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033B62">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left"/>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其它</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6961C3">
            <w:pPr>
              <w:pStyle w:val="4"/>
              <w:pageBreakBefore w:val="0"/>
              <w:widowControl/>
              <w:kinsoku/>
              <w:wordWrap/>
              <w:overflowPunct/>
              <w:topLinePunct w:val="0"/>
              <w:autoSpaceDE/>
              <w:autoSpaceDN/>
              <w:bidi w:val="0"/>
              <w:adjustRightInd/>
              <w:snapToGrid/>
              <w:spacing w:beforeAutospacing="0" w:after="0" w:afterAutospacing="0" w:line="360" w:lineRule="auto"/>
              <w:ind w:left="0" w:leftChars="0" w:right="0" w:firstLine="0" w:firstLineChars="0"/>
              <w:jc w:val="center"/>
              <w:textAlignment w:val="auto"/>
              <w:rPr>
                <w:rFonts w:hint="eastAsia" w:ascii="仿宋_GB2312" w:eastAsia="仿宋_GB2312"/>
                <w:color w:val="auto"/>
                <w:sz w:val="23"/>
                <w:szCs w:val="23"/>
                <w:lang w:val="en-US" w:eastAsia="zh-Hans"/>
              </w:rPr>
            </w:pPr>
            <w:r>
              <w:rPr>
                <w:rFonts w:hint="eastAsia" w:ascii="仿宋_GB2312" w:eastAsia="仿宋_GB2312"/>
                <w:color w:val="auto"/>
                <w:sz w:val="23"/>
                <w:szCs w:val="23"/>
                <w:lang w:val="en-US" w:eastAsia="zh-Hans"/>
              </w:rPr>
              <w:t>1</w:t>
            </w:r>
          </w:p>
        </w:tc>
      </w:tr>
    </w:tbl>
    <w:p w14:paraId="02BC9498">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Hans"/>
        </w:rPr>
        <w:t>发表论文摘要者，按本规定的1/4加分。</w:t>
      </w:r>
    </w:p>
    <w:p w14:paraId="7A194496">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val="en-US" w:eastAsia="zh-Hans"/>
        </w:rPr>
      </w:pPr>
      <w:r>
        <w:rPr>
          <w:rFonts w:hint="eastAsia" w:ascii="仿宋_GB2312" w:eastAsia="仿宋_GB2312"/>
          <w:color w:val="auto"/>
          <w:highlight w:val="none"/>
          <w:lang w:val="en-US" w:eastAsia="zh-Hans"/>
        </w:rPr>
        <w:t>按会议具体发表情况，乘以以下加分系数后进行加分：</w:t>
      </w:r>
    </w:p>
    <w:p w14:paraId="60E97BA8">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val="en-US" w:eastAsia="zh-Hans"/>
        </w:rPr>
        <w:t>做口头宣读并发表与本人所学专业有关的学术论文全文，加分系数为1</w:t>
      </w:r>
      <w:r>
        <w:rPr>
          <w:rFonts w:hint="eastAsia" w:ascii="仿宋_GB2312" w:eastAsia="仿宋_GB2312"/>
          <w:color w:val="auto"/>
          <w:highlight w:val="none"/>
          <w:lang w:val="en-US" w:eastAsia="zh-CN"/>
        </w:rPr>
        <w:t>；</w:t>
      </w:r>
      <w:r>
        <w:rPr>
          <w:rFonts w:hint="eastAsia" w:ascii="仿宋_GB2312" w:eastAsia="仿宋_GB2312"/>
          <w:color w:val="auto"/>
          <w:highlight w:val="none"/>
          <w:lang w:val="en-US" w:eastAsia="zh-Hans"/>
        </w:rPr>
        <w:t>做口头宣读并发表与本人所学专业有关的学术论文摘要，加分系数为3/4</w:t>
      </w:r>
      <w:r>
        <w:rPr>
          <w:rFonts w:hint="eastAsia" w:ascii="仿宋_GB2312" w:eastAsia="仿宋_GB2312"/>
          <w:color w:val="auto"/>
          <w:highlight w:val="none"/>
          <w:lang w:val="en-US" w:eastAsia="zh-CN"/>
        </w:rPr>
        <w:t>；</w:t>
      </w:r>
      <w:r>
        <w:rPr>
          <w:rFonts w:hint="eastAsia" w:ascii="仿宋_GB2312" w:eastAsia="仿宋_GB2312"/>
          <w:color w:val="auto"/>
          <w:highlight w:val="none"/>
          <w:lang w:val="en-US" w:eastAsia="zh-Hans"/>
        </w:rPr>
        <w:t>仅做口头宣读与本人所学专业有关的学术论文全文或摘要，加分系数为1/2</w:t>
      </w:r>
      <w:r>
        <w:rPr>
          <w:rFonts w:hint="eastAsia" w:ascii="仿宋_GB2312" w:eastAsia="仿宋_GB2312"/>
          <w:color w:val="auto"/>
          <w:highlight w:val="none"/>
          <w:lang w:val="en-US" w:eastAsia="zh-CN"/>
        </w:rPr>
        <w:t>；</w:t>
      </w:r>
      <w:r>
        <w:rPr>
          <w:rFonts w:hint="eastAsia" w:ascii="仿宋_GB2312" w:eastAsia="仿宋_GB2312"/>
          <w:color w:val="auto"/>
          <w:highlight w:val="none"/>
          <w:lang w:val="en-US" w:eastAsia="zh-Hans"/>
        </w:rPr>
        <w:t>做墙报展示并发表与本人所学专业有关的学术论文全文，加分系数为3/4</w:t>
      </w:r>
      <w:r>
        <w:rPr>
          <w:rFonts w:hint="eastAsia" w:ascii="仿宋_GB2312" w:eastAsia="仿宋_GB2312"/>
          <w:color w:val="auto"/>
          <w:highlight w:val="none"/>
          <w:lang w:val="en-US" w:eastAsia="zh-CN"/>
        </w:rPr>
        <w:t>；</w:t>
      </w:r>
      <w:r>
        <w:rPr>
          <w:rFonts w:hint="eastAsia" w:ascii="仿宋_GB2312" w:eastAsia="仿宋_GB2312"/>
          <w:color w:val="auto"/>
          <w:highlight w:val="none"/>
          <w:lang w:val="en-US" w:eastAsia="zh-Hans"/>
        </w:rPr>
        <w:t>做墙报展示并发表与本人所学专业有关的学术论文摘要，加分系数为1/2</w:t>
      </w:r>
      <w:r>
        <w:rPr>
          <w:rFonts w:hint="eastAsia" w:ascii="仿宋_GB2312" w:eastAsia="仿宋_GB2312"/>
          <w:color w:val="auto"/>
          <w:highlight w:val="none"/>
          <w:lang w:val="en-US" w:eastAsia="zh-CN"/>
        </w:rPr>
        <w:t>；</w:t>
      </w:r>
      <w:r>
        <w:rPr>
          <w:rFonts w:hint="eastAsia" w:ascii="仿宋_GB2312" w:eastAsia="仿宋_GB2312"/>
          <w:color w:val="auto"/>
          <w:highlight w:val="none"/>
          <w:lang w:val="en-US" w:eastAsia="zh-Hans"/>
        </w:rPr>
        <w:t>仅做墙报展示与本人所学专业</w:t>
      </w:r>
      <w:r>
        <w:rPr>
          <w:rFonts w:hint="eastAsia" w:ascii="仿宋_GB2312" w:eastAsia="仿宋_GB2312"/>
          <w:color w:val="auto"/>
          <w:highlight w:val="none"/>
          <w:lang w:eastAsia="zh-CN"/>
        </w:rPr>
        <w:t>有关的学术论文</w:t>
      </w:r>
      <w:r>
        <w:rPr>
          <w:rFonts w:hint="eastAsia" w:ascii="仿宋_GB2312" w:eastAsia="仿宋_GB2312"/>
          <w:color w:val="auto"/>
          <w:highlight w:val="none"/>
          <w:lang w:eastAsia="zh-Hans"/>
        </w:rPr>
        <w:t>全文或摘要，加分系数为1/4</w:t>
      </w:r>
      <w:r>
        <w:rPr>
          <w:rFonts w:hint="eastAsia" w:ascii="仿宋_GB2312" w:eastAsia="仿宋_GB2312"/>
          <w:color w:val="auto"/>
          <w:highlight w:val="none"/>
          <w:lang w:eastAsia="zh-CN"/>
        </w:rPr>
        <w:t>。</w:t>
      </w:r>
    </w:p>
    <w:p w14:paraId="7DAA0D64">
      <w:pPr>
        <w:pageBreakBefore w:val="0"/>
        <w:kinsoku/>
        <w:wordWrap/>
        <w:overflowPunct/>
        <w:topLinePunct w:val="0"/>
        <w:autoSpaceDE/>
        <w:autoSpaceDN/>
        <w:bidi w:val="0"/>
        <w:adjustRightInd/>
        <w:snapToGrid/>
        <w:spacing w:line="360" w:lineRule="auto"/>
        <w:ind w:left="0" w:leftChars="0" w:firstLine="0" w:firstLineChars="0"/>
        <w:textAlignment w:val="auto"/>
        <w:rPr>
          <w:rFonts w:ascii="仿宋" w:hAnsi="仿宋" w:eastAsia="仿宋_GB2312" w:cs="仿宋"/>
          <w:b/>
          <w:bCs/>
          <w:color w:val="auto"/>
          <w:sz w:val="28"/>
          <w:szCs w:val="28"/>
          <w:highlight w:val="none"/>
          <w:lang w:eastAsia="zh-CN"/>
        </w:rPr>
      </w:pPr>
      <w:r>
        <w:rPr>
          <w:rFonts w:hint="eastAsia" w:ascii="仿宋" w:hAnsi="仿宋" w:eastAsia="仿宋_GB2312" w:cs="仿宋"/>
          <w:b/>
          <w:bCs/>
          <w:color w:val="auto"/>
          <w:sz w:val="28"/>
          <w:szCs w:val="28"/>
          <w:highlight w:val="none"/>
          <w:lang w:eastAsia="zh-Hans"/>
        </w:rPr>
        <w:t>五</w:t>
      </w:r>
      <w:r>
        <w:rPr>
          <w:rFonts w:hint="eastAsia" w:ascii="仿宋" w:hAnsi="仿宋" w:eastAsia="仿宋_GB2312" w:cs="仿宋"/>
          <w:b/>
          <w:bCs/>
          <w:color w:val="auto"/>
          <w:sz w:val="28"/>
          <w:szCs w:val="28"/>
          <w:highlight w:val="none"/>
          <w:lang w:eastAsia="zh-CN"/>
        </w:rPr>
        <w:t>、</w:t>
      </w:r>
      <w:r>
        <w:rPr>
          <w:rFonts w:hint="eastAsia" w:ascii="仿宋" w:hAnsi="仿宋" w:eastAsia="仿宋_GB2312" w:cs="仿宋"/>
          <w:b/>
          <w:bCs/>
          <w:color w:val="auto"/>
          <w:sz w:val="28"/>
          <w:szCs w:val="28"/>
          <w:highlight w:val="none"/>
          <w:lang w:eastAsia="zh-Hans"/>
        </w:rPr>
        <w:t>体育成绩计算</w:t>
      </w:r>
    </w:p>
    <w:p w14:paraId="53D3765D">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体育成绩（100分）＝体育锻炼成绩（70分）＋体育加分（30分）</w:t>
      </w:r>
    </w:p>
    <w:p w14:paraId="003508A8">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（一）体育锻炼成绩（70分）</w:t>
      </w:r>
    </w:p>
    <w:p w14:paraId="0DD8ADAF">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bookmarkStart w:id="7" w:name="_Hlk168565563"/>
      <w:r>
        <w:rPr>
          <w:rFonts w:hint="eastAsia" w:ascii="仿宋_GB2312" w:eastAsia="仿宋_GB2312"/>
          <w:color w:val="auto"/>
          <w:highlight w:val="none"/>
          <w:lang w:eastAsia="zh-CN"/>
        </w:rPr>
        <w:t>体育锻炼成绩=[体测成绩（100分）×80%+体育课外锻炼成绩（100分）×20%]×70%</w:t>
      </w:r>
    </w:p>
    <w:bookmarkEnd w:id="7"/>
    <w:p w14:paraId="1A4E7FD0">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体测成绩以体育与人文艺术学院提供的《学生体质健康标准》测试成绩计分为准。体育课外锻炼成绩以体育与人文艺术学院提供的学生参加“阳光体育课外锻炼100公里跑”认定结果为准。学生因病或者残疾经校医院证明并由体能测试中心核准后，体测成绩按及格等级赋分。</w:t>
      </w:r>
    </w:p>
    <w:p w14:paraId="4773E217">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（二）体育加分（30分）</w:t>
      </w:r>
    </w:p>
    <w:p w14:paraId="2E3F0DBE">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各级各类体育赛事单人或集体项目按下表加分，非主力队员按2/3折算。每人获多个奖项的可累加，但校级赛事加分上限不超过20分。</w:t>
      </w:r>
    </w:p>
    <w:p w14:paraId="18B68ABE">
      <w:pPr>
        <w:pageBreakBefore w:val="0"/>
        <w:kinsoku/>
        <w:wordWrap/>
        <w:overflowPunct/>
        <w:topLinePunct w:val="0"/>
        <w:autoSpaceDE/>
        <w:autoSpaceDN/>
        <w:bidi w:val="0"/>
        <w:adjustRightInd/>
        <w:snapToGrid/>
        <w:spacing w:line="360" w:lineRule="auto"/>
        <w:ind w:firstLine="460" w:firstLineChars="200"/>
        <w:textAlignment w:val="auto"/>
        <w:rPr>
          <w:rFonts w:hint="default" w:ascii="仿宋_GB2312" w:eastAsia="仿宋_GB2312"/>
          <w:color w:val="auto"/>
          <w:highlight w:val="none"/>
          <w:lang w:val="en-US" w:eastAsia="zh-CN"/>
        </w:rPr>
      </w:pPr>
      <w:r>
        <w:rPr>
          <w:rFonts w:hint="eastAsia" w:ascii="仿宋_GB2312" w:eastAsia="仿宋_GB2312"/>
          <w:color w:val="auto"/>
          <w:highlight w:val="none"/>
          <w:lang w:val="en-US" w:eastAsia="zh-CN"/>
        </w:rPr>
        <w:t>计算综合测评学年的</w:t>
      </w:r>
      <w:r>
        <w:rPr>
          <w:rFonts w:hint="eastAsia" w:ascii="仿宋_GB2312" w:eastAsia="仿宋_GB2312"/>
          <w:color w:val="auto"/>
          <w:highlight w:val="none"/>
          <w:lang w:eastAsia="zh-CN"/>
        </w:rPr>
        <w:t>体测成绩</w:t>
      </w:r>
      <w:r>
        <w:rPr>
          <w:rFonts w:hint="default" w:ascii="仿宋_GB2312" w:eastAsia="仿宋_GB2312"/>
          <w:color w:val="auto"/>
          <w:highlight w:val="none"/>
          <w:lang w:val="en-US" w:eastAsia="zh-CN"/>
        </w:rPr>
        <w:t>不低于80分，则该生被认定为体质优良学生，</w:t>
      </w:r>
      <w:r>
        <w:rPr>
          <w:rFonts w:hint="eastAsia" w:ascii="仿宋_GB2312" w:eastAsia="仿宋_GB2312"/>
          <w:color w:val="auto"/>
          <w:highlight w:val="none"/>
          <w:lang w:val="en-US" w:eastAsia="zh-CN"/>
        </w:rPr>
        <w:t>按照8分加分</w:t>
      </w:r>
      <w:r>
        <w:rPr>
          <w:rFonts w:hint="default" w:ascii="仿宋_GB2312" w:eastAsia="仿宋_GB2312"/>
          <w:color w:val="auto"/>
          <w:highlight w:val="none"/>
          <w:lang w:val="en-US" w:eastAsia="zh-CN"/>
        </w:rPr>
        <w:t>。</w:t>
      </w:r>
    </w:p>
    <w:tbl>
      <w:tblPr>
        <w:tblStyle w:val="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55"/>
        <w:gridCol w:w="1563"/>
        <w:gridCol w:w="1432"/>
        <w:gridCol w:w="1613"/>
        <w:gridCol w:w="1737"/>
        <w:gridCol w:w="819"/>
      </w:tblGrid>
      <w:tr w14:paraId="04388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795" w:type="pct"/>
            <w:tcBorders>
              <w:top w:val="single" w:color="auto" w:sz="4" w:space="0"/>
              <w:left w:val="single" w:color="auto" w:sz="4" w:space="0"/>
              <w:bottom w:val="single" w:color="auto" w:sz="4" w:space="0"/>
              <w:right w:val="single" w:color="auto" w:sz="4" w:space="0"/>
              <w:tl2br w:val="single" w:color="auto" w:sz="4" w:space="0"/>
            </w:tcBorders>
            <w:noWrap w:val="0"/>
            <w:vAlign w:val="top"/>
          </w:tcPr>
          <w:p w14:paraId="12FD645D">
            <w:pPr>
              <w:pageBreakBefore w:val="0"/>
              <w:kinsoku/>
              <w:wordWrap/>
              <w:overflowPunct/>
              <w:topLinePunct w:val="0"/>
              <w:autoSpaceDE/>
              <w:autoSpaceDN/>
              <w:bidi w:val="0"/>
              <w:adjustRightInd/>
              <w:snapToGrid/>
              <w:spacing w:line="360" w:lineRule="auto"/>
              <w:ind w:firstLine="460" w:firstLineChars="20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分值</w:t>
            </w:r>
          </w:p>
          <w:p w14:paraId="25867BE8">
            <w:pPr>
              <w:pageBreakBefore w:val="0"/>
              <w:kinsoku/>
              <w:wordWrap/>
              <w:overflowPunct/>
              <w:topLinePunct w:val="0"/>
              <w:autoSpaceDE/>
              <w:autoSpaceDN/>
              <w:bidi w:val="0"/>
              <w:adjustRightInd/>
              <w:snapToGrid/>
              <w:spacing w:line="360" w:lineRule="auto"/>
              <w:ind w:firstLine="460" w:firstLineChars="200"/>
              <w:jc w:val="center"/>
              <w:textAlignment w:val="auto"/>
              <w:rPr>
                <w:rFonts w:hint="eastAsia" w:ascii="仿宋_GB2312" w:eastAsia="仿宋_GB2312"/>
                <w:color w:val="auto"/>
                <w:highlight w:val="none"/>
                <w:lang w:eastAsia="zh-CN"/>
              </w:rPr>
            </w:pPr>
          </w:p>
          <w:p w14:paraId="06FFDBCB">
            <w:pPr>
              <w:pageBreakBefore w:val="0"/>
              <w:kinsoku/>
              <w:wordWrap/>
              <w:overflowPunct/>
              <w:topLinePunct w:val="0"/>
              <w:autoSpaceDE/>
              <w:autoSpaceDN/>
              <w:bidi w:val="0"/>
              <w:adjustRightInd/>
              <w:snapToGrid/>
              <w:spacing w:line="360" w:lineRule="auto"/>
              <w:ind w:firstLine="460" w:firstLineChars="200"/>
              <w:jc w:val="center"/>
              <w:textAlignment w:val="auto"/>
              <w:rPr>
                <w:rFonts w:hint="eastAsia" w:ascii="仿宋_GB2312" w:eastAsia="仿宋_GB2312"/>
                <w:color w:val="auto"/>
                <w:highlight w:val="none"/>
                <w:lang w:eastAsia="zh-CN"/>
              </w:rPr>
            </w:pPr>
          </w:p>
          <w:p w14:paraId="72B3FDBD">
            <w:pPr>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级别</w:t>
            </w:r>
          </w:p>
        </w:tc>
        <w:tc>
          <w:tcPr>
            <w:tcW w:w="917" w:type="pct"/>
            <w:tcBorders>
              <w:top w:val="single" w:color="auto" w:sz="4" w:space="0"/>
              <w:left w:val="single" w:color="auto" w:sz="4" w:space="0"/>
              <w:bottom w:val="single" w:color="auto" w:sz="4" w:space="0"/>
              <w:right w:val="single" w:color="auto" w:sz="4" w:space="0"/>
            </w:tcBorders>
            <w:noWrap w:val="0"/>
            <w:vAlign w:val="center"/>
          </w:tcPr>
          <w:p w14:paraId="3B8F8BE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一、二名</w:t>
            </w:r>
          </w:p>
          <w:p w14:paraId="3E9599D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/一等奖</w:t>
            </w:r>
          </w:p>
        </w:tc>
        <w:tc>
          <w:tcPr>
            <w:tcW w:w="840" w:type="pct"/>
            <w:tcBorders>
              <w:top w:val="single" w:color="auto" w:sz="4" w:space="0"/>
              <w:left w:val="single" w:color="auto" w:sz="4" w:space="0"/>
              <w:bottom w:val="single" w:color="auto" w:sz="4" w:space="0"/>
              <w:right w:val="single" w:color="auto" w:sz="4" w:space="0"/>
            </w:tcBorders>
            <w:noWrap w:val="0"/>
            <w:vAlign w:val="center"/>
          </w:tcPr>
          <w:p w14:paraId="55ED85C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三、四名</w:t>
            </w:r>
          </w:p>
          <w:p w14:paraId="0C19C63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/二等奖</w:t>
            </w:r>
          </w:p>
        </w:tc>
        <w:tc>
          <w:tcPr>
            <w:tcW w:w="946" w:type="pct"/>
            <w:tcBorders>
              <w:top w:val="single" w:color="auto" w:sz="4" w:space="0"/>
              <w:left w:val="single" w:color="auto" w:sz="4" w:space="0"/>
              <w:bottom w:val="single" w:color="auto" w:sz="4" w:space="0"/>
              <w:right w:val="single" w:color="auto" w:sz="4" w:space="0"/>
            </w:tcBorders>
            <w:noWrap w:val="0"/>
            <w:vAlign w:val="center"/>
          </w:tcPr>
          <w:p w14:paraId="78B4872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五、六名</w:t>
            </w:r>
          </w:p>
          <w:p w14:paraId="30D5ABD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/三等奖</w:t>
            </w:r>
          </w:p>
        </w:tc>
        <w:tc>
          <w:tcPr>
            <w:tcW w:w="1019" w:type="pct"/>
            <w:tcBorders>
              <w:top w:val="single" w:color="auto" w:sz="4" w:space="0"/>
              <w:left w:val="single" w:color="auto" w:sz="4" w:space="0"/>
              <w:bottom w:val="single" w:color="auto" w:sz="4" w:space="0"/>
              <w:right w:val="single" w:color="auto" w:sz="4" w:space="0"/>
            </w:tcBorders>
            <w:noWrap w:val="0"/>
            <w:vAlign w:val="center"/>
          </w:tcPr>
          <w:p w14:paraId="793C561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七、八名</w:t>
            </w:r>
          </w:p>
          <w:p w14:paraId="58238C9D">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/鼓励奖/优秀奖</w:t>
            </w:r>
          </w:p>
        </w:tc>
        <w:tc>
          <w:tcPr>
            <w:tcW w:w="480" w:type="pct"/>
            <w:tcBorders>
              <w:top w:val="single" w:color="auto" w:sz="4" w:space="0"/>
              <w:left w:val="single" w:color="auto" w:sz="4" w:space="0"/>
              <w:bottom w:val="single" w:color="auto" w:sz="4" w:space="0"/>
              <w:right w:val="single" w:color="auto" w:sz="4" w:space="0"/>
            </w:tcBorders>
            <w:noWrap w:val="0"/>
            <w:vAlign w:val="center"/>
          </w:tcPr>
          <w:p w14:paraId="69DEC5A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参与</w:t>
            </w:r>
          </w:p>
        </w:tc>
      </w:tr>
      <w:tr w14:paraId="62750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5" w:type="pct"/>
            <w:tcBorders>
              <w:top w:val="single" w:color="auto" w:sz="4" w:space="0"/>
              <w:left w:val="single" w:color="auto" w:sz="4" w:space="0"/>
              <w:bottom w:val="single" w:color="auto" w:sz="4" w:space="0"/>
              <w:right w:val="single" w:color="auto" w:sz="4" w:space="0"/>
            </w:tcBorders>
            <w:noWrap w:val="0"/>
            <w:vAlign w:val="top"/>
          </w:tcPr>
          <w:p w14:paraId="46351CF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国家级</w:t>
            </w:r>
          </w:p>
        </w:tc>
        <w:tc>
          <w:tcPr>
            <w:tcW w:w="917" w:type="pct"/>
            <w:tcBorders>
              <w:top w:val="single" w:color="auto" w:sz="4" w:space="0"/>
              <w:left w:val="single" w:color="auto" w:sz="4" w:space="0"/>
              <w:bottom w:val="single" w:color="auto" w:sz="4" w:space="0"/>
              <w:right w:val="single" w:color="auto" w:sz="4" w:space="0"/>
            </w:tcBorders>
            <w:noWrap w:val="0"/>
            <w:vAlign w:val="top"/>
          </w:tcPr>
          <w:p w14:paraId="7AF46A8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30</w:t>
            </w:r>
          </w:p>
        </w:tc>
        <w:tc>
          <w:tcPr>
            <w:tcW w:w="840" w:type="pct"/>
            <w:tcBorders>
              <w:top w:val="single" w:color="auto" w:sz="4" w:space="0"/>
              <w:left w:val="single" w:color="auto" w:sz="4" w:space="0"/>
              <w:bottom w:val="single" w:color="auto" w:sz="4" w:space="0"/>
              <w:right w:val="single" w:color="auto" w:sz="4" w:space="0"/>
            </w:tcBorders>
            <w:noWrap w:val="0"/>
            <w:vAlign w:val="top"/>
          </w:tcPr>
          <w:p w14:paraId="5FEACD4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20</w:t>
            </w:r>
          </w:p>
        </w:tc>
        <w:tc>
          <w:tcPr>
            <w:tcW w:w="946" w:type="pct"/>
            <w:tcBorders>
              <w:top w:val="single" w:color="auto" w:sz="4" w:space="0"/>
              <w:left w:val="single" w:color="auto" w:sz="4" w:space="0"/>
              <w:bottom w:val="single" w:color="auto" w:sz="4" w:space="0"/>
              <w:right w:val="single" w:color="auto" w:sz="4" w:space="0"/>
            </w:tcBorders>
            <w:noWrap w:val="0"/>
            <w:vAlign w:val="top"/>
          </w:tcPr>
          <w:p w14:paraId="6EB107B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15</w:t>
            </w:r>
          </w:p>
        </w:tc>
        <w:tc>
          <w:tcPr>
            <w:tcW w:w="1019" w:type="pct"/>
            <w:tcBorders>
              <w:top w:val="single" w:color="auto" w:sz="4" w:space="0"/>
              <w:left w:val="single" w:color="auto" w:sz="4" w:space="0"/>
              <w:bottom w:val="single" w:color="auto" w:sz="4" w:space="0"/>
              <w:right w:val="single" w:color="auto" w:sz="4" w:space="0"/>
            </w:tcBorders>
            <w:noWrap w:val="0"/>
            <w:vAlign w:val="top"/>
          </w:tcPr>
          <w:p w14:paraId="0EC067A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10</w:t>
            </w:r>
          </w:p>
        </w:tc>
        <w:tc>
          <w:tcPr>
            <w:tcW w:w="480" w:type="pct"/>
            <w:tcBorders>
              <w:top w:val="single" w:color="auto" w:sz="4" w:space="0"/>
              <w:left w:val="single" w:color="auto" w:sz="4" w:space="0"/>
              <w:bottom w:val="single" w:color="auto" w:sz="4" w:space="0"/>
              <w:right w:val="single" w:color="auto" w:sz="4" w:space="0"/>
            </w:tcBorders>
            <w:noWrap w:val="0"/>
            <w:vAlign w:val="top"/>
          </w:tcPr>
          <w:p w14:paraId="3EE7AB9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5</w:t>
            </w:r>
          </w:p>
        </w:tc>
      </w:tr>
      <w:tr w14:paraId="2A587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5" w:type="pct"/>
            <w:tcBorders>
              <w:top w:val="single" w:color="auto" w:sz="4" w:space="0"/>
              <w:left w:val="single" w:color="auto" w:sz="4" w:space="0"/>
              <w:bottom w:val="single" w:color="auto" w:sz="4" w:space="0"/>
              <w:right w:val="single" w:color="auto" w:sz="4" w:space="0"/>
            </w:tcBorders>
            <w:noWrap w:val="0"/>
            <w:vAlign w:val="top"/>
          </w:tcPr>
          <w:p w14:paraId="5DF5BA9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省部级</w:t>
            </w:r>
          </w:p>
        </w:tc>
        <w:tc>
          <w:tcPr>
            <w:tcW w:w="917" w:type="pct"/>
            <w:tcBorders>
              <w:top w:val="single" w:color="auto" w:sz="4" w:space="0"/>
              <w:left w:val="single" w:color="auto" w:sz="4" w:space="0"/>
              <w:bottom w:val="single" w:color="auto" w:sz="4" w:space="0"/>
              <w:right w:val="single" w:color="auto" w:sz="4" w:space="0"/>
            </w:tcBorders>
            <w:noWrap w:val="0"/>
            <w:vAlign w:val="top"/>
          </w:tcPr>
          <w:p w14:paraId="285BAA6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20</w:t>
            </w:r>
          </w:p>
        </w:tc>
        <w:tc>
          <w:tcPr>
            <w:tcW w:w="840" w:type="pct"/>
            <w:tcBorders>
              <w:top w:val="single" w:color="auto" w:sz="4" w:space="0"/>
              <w:left w:val="single" w:color="auto" w:sz="4" w:space="0"/>
              <w:bottom w:val="single" w:color="auto" w:sz="4" w:space="0"/>
              <w:right w:val="single" w:color="auto" w:sz="4" w:space="0"/>
            </w:tcBorders>
            <w:noWrap w:val="0"/>
            <w:vAlign w:val="top"/>
          </w:tcPr>
          <w:p w14:paraId="6835678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15</w:t>
            </w:r>
          </w:p>
        </w:tc>
        <w:tc>
          <w:tcPr>
            <w:tcW w:w="946" w:type="pct"/>
            <w:tcBorders>
              <w:top w:val="single" w:color="auto" w:sz="4" w:space="0"/>
              <w:left w:val="single" w:color="auto" w:sz="4" w:space="0"/>
              <w:bottom w:val="single" w:color="auto" w:sz="4" w:space="0"/>
              <w:right w:val="single" w:color="auto" w:sz="4" w:space="0"/>
            </w:tcBorders>
            <w:noWrap w:val="0"/>
            <w:vAlign w:val="top"/>
          </w:tcPr>
          <w:p w14:paraId="070E271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10</w:t>
            </w:r>
          </w:p>
        </w:tc>
        <w:tc>
          <w:tcPr>
            <w:tcW w:w="1019" w:type="pct"/>
            <w:tcBorders>
              <w:top w:val="single" w:color="auto" w:sz="4" w:space="0"/>
              <w:left w:val="single" w:color="auto" w:sz="4" w:space="0"/>
              <w:bottom w:val="single" w:color="auto" w:sz="4" w:space="0"/>
              <w:right w:val="single" w:color="auto" w:sz="4" w:space="0"/>
            </w:tcBorders>
            <w:noWrap w:val="0"/>
            <w:vAlign w:val="top"/>
          </w:tcPr>
          <w:p w14:paraId="7CF9FB0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5</w:t>
            </w:r>
          </w:p>
        </w:tc>
        <w:tc>
          <w:tcPr>
            <w:tcW w:w="480" w:type="pct"/>
            <w:tcBorders>
              <w:top w:val="single" w:color="auto" w:sz="4" w:space="0"/>
              <w:left w:val="single" w:color="auto" w:sz="4" w:space="0"/>
              <w:bottom w:val="single" w:color="auto" w:sz="4" w:space="0"/>
              <w:right w:val="single" w:color="auto" w:sz="4" w:space="0"/>
            </w:tcBorders>
            <w:noWrap w:val="0"/>
            <w:vAlign w:val="top"/>
          </w:tcPr>
          <w:p w14:paraId="0FDDEA0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w:t>
            </w:r>
          </w:p>
        </w:tc>
      </w:tr>
      <w:tr w14:paraId="151D5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5" w:type="pct"/>
            <w:tcBorders>
              <w:top w:val="single" w:color="auto" w:sz="4" w:space="0"/>
              <w:left w:val="single" w:color="auto" w:sz="4" w:space="0"/>
              <w:bottom w:val="single" w:color="auto" w:sz="4" w:space="0"/>
              <w:right w:val="single" w:color="auto" w:sz="4" w:space="0"/>
            </w:tcBorders>
            <w:noWrap w:val="0"/>
            <w:vAlign w:val="top"/>
          </w:tcPr>
          <w:p w14:paraId="58F3C0B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校级</w:t>
            </w:r>
          </w:p>
        </w:tc>
        <w:tc>
          <w:tcPr>
            <w:tcW w:w="917" w:type="pct"/>
            <w:tcBorders>
              <w:top w:val="single" w:color="auto" w:sz="4" w:space="0"/>
              <w:left w:val="single" w:color="auto" w:sz="4" w:space="0"/>
              <w:bottom w:val="single" w:color="auto" w:sz="4" w:space="0"/>
              <w:right w:val="single" w:color="auto" w:sz="4" w:space="0"/>
            </w:tcBorders>
            <w:noWrap w:val="0"/>
            <w:vAlign w:val="top"/>
          </w:tcPr>
          <w:p w14:paraId="34D23FE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8</w:t>
            </w:r>
          </w:p>
        </w:tc>
        <w:tc>
          <w:tcPr>
            <w:tcW w:w="840" w:type="pct"/>
            <w:tcBorders>
              <w:top w:val="single" w:color="auto" w:sz="4" w:space="0"/>
              <w:left w:val="single" w:color="auto" w:sz="4" w:space="0"/>
              <w:bottom w:val="single" w:color="auto" w:sz="4" w:space="0"/>
              <w:right w:val="single" w:color="auto" w:sz="4" w:space="0"/>
            </w:tcBorders>
            <w:noWrap w:val="0"/>
            <w:vAlign w:val="top"/>
          </w:tcPr>
          <w:p w14:paraId="0079B1A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6</w:t>
            </w:r>
          </w:p>
        </w:tc>
        <w:tc>
          <w:tcPr>
            <w:tcW w:w="946" w:type="pct"/>
            <w:tcBorders>
              <w:top w:val="single" w:color="auto" w:sz="4" w:space="0"/>
              <w:left w:val="single" w:color="auto" w:sz="4" w:space="0"/>
              <w:bottom w:val="single" w:color="auto" w:sz="4" w:space="0"/>
              <w:right w:val="single" w:color="auto" w:sz="4" w:space="0"/>
            </w:tcBorders>
            <w:noWrap w:val="0"/>
            <w:vAlign w:val="top"/>
          </w:tcPr>
          <w:p w14:paraId="5304F4D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w:t>
            </w:r>
          </w:p>
        </w:tc>
        <w:tc>
          <w:tcPr>
            <w:tcW w:w="1019" w:type="pct"/>
            <w:tcBorders>
              <w:top w:val="single" w:color="auto" w:sz="4" w:space="0"/>
              <w:left w:val="single" w:color="auto" w:sz="4" w:space="0"/>
              <w:bottom w:val="single" w:color="auto" w:sz="4" w:space="0"/>
              <w:right w:val="single" w:color="auto" w:sz="4" w:space="0"/>
            </w:tcBorders>
            <w:noWrap w:val="0"/>
            <w:vAlign w:val="top"/>
          </w:tcPr>
          <w:p w14:paraId="147CAE7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w:t>
            </w:r>
          </w:p>
        </w:tc>
        <w:tc>
          <w:tcPr>
            <w:tcW w:w="480" w:type="pct"/>
            <w:tcBorders>
              <w:top w:val="single" w:color="auto" w:sz="4" w:space="0"/>
              <w:left w:val="single" w:color="auto" w:sz="4" w:space="0"/>
              <w:bottom w:val="single" w:color="auto" w:sz="4" w:space="0"/>
              <w:right w:val="single" w:color="auto" w:sz="4" w:space="0"/>
            </w:tcBorders>
            <w:noWrap w:val="0"/>
            <w:vAlign w:val="top"/>
          </w:tcPr>
          <w:p w14:paraId="5D3D3BA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w:t>
            </w:r>
          </w:p>
        </w:tc>
      </w:tr>
    </w:tbl>
    <w:p w14:paraId="453CD5CA">
      <w:pPr>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仿宋_GB2312" w:eastAsia="仿宋_GB2312"/>
          <w:b/>
          <w:bCs/>
          <w:color w:val="auto"/>
          <w:sz w:val="28"/>
          <w:szCs w:val="28"/>
          <w:highlight w:val="none"/>
          <w:lang w:val="en-US" w:eastAsia="zh-CN"/>
        </w:rPr>
      </w:pPr>
      <w:r>
        <w:rPr>
          <w:rFonts w:hint="eastAsia" w:ascii="仿宋_GB2312" w:eastAsia="仿宋_GB2312"/>
          <w:b/>
          <w:bCs/>
          <w:color w:val="auto"/>
          <w:sz w:val="28"/>
          <w:szCs w:val="28"/>
          <w:highlight w:val="none"/>
          <w:lang w:val="en-US" w:eastAsia="zh-CN"/>
        </w:rPr>
        <w:t>六、</w:t>
      </w:r>
      <w:r>
        <w:rPr>
          <w:rFonts w:hint="eastAsia" w:ascii="仿宋_GB2312" w:eastAsia="仿宋_GB2312"/>
          <w:b/>
          <w:bCs/>
          <w:color w:val="auto"/>
          <w:sz w:val="28"/>
          <w:szCs w:val="28"/>
          <w:highlight w:val="none"/>
          <w:lang w:eastAsia="zh-CN"/>
        </w:rPr>
        <w:t>美育成绩</w:t>
      </w:r>
      <w:r>
        <w:rPr>
          <w:rFonts w:hint="eastAsia" w:ascii="仿宋_GB2312" w:eastAsia="仿宋_GB2312"/>
          <w:b/>
          <w:bCs/>
          <w:color w:val="auto"/>
          <w:sz w:val="28"/>
          <w:szCs w:val="28"/>
          <w:highlight w:val="none"/>
          <w:lang w:val="en-US" w:eastAsia="zh-CN"/>
        </w:rPr>
        <w:t>计算</w:t>
      </w:r>
    </w:p>
    <w:p w14:paraId="2E24D1A0">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美育成绩（100分）=文化艺术活动（70分）+美育加分（30分）</w:t>
      </w:r>
    </w:p>
    <w:p w14:paraId="3D330E3A">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（一）文化艺术活动（70分）</w:t>
      </w:r>
    </w:p>
    <w:p w14:paraId="667B5D5A">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1.参加各级文艺演出，</w:t>
      </w:r>
      <w:bookmarkStart w:id="8" w:name="_Hlk170377842"/>
      <w:r>
        <w:rPr>
          <w:rFonts w:hint="eastAsia" w:ascii="仿宋_GB2312" w:eastAsia="仿宋_GB2312"/>
          <w:color w:val="auto"/>
          <w:highlight w:val="none"/>
          <w:lang w:eastAsia="zh-CN"/>
        </w:rPr>
        <w:t>国家级、省部级、地市级</w:t>
      </w:r>
      <w:bookmarkEnd w:id="8"/>
      <w:r>
        <w:rPr>
          <w:rFonts w:hint="eastAsia" w:ascii="仿宋_GB2312" w:eastAsia="仿宋_GB2312"/>
          <w:color w:val="auto"/>
          <w:highlight w:val="none"/>
          <w:lang w:eastAsia="zh-CN"/>
        </w:rPr>
        <w:t>、校级、院级每场分别计50分、30分、20分、10分、5分。</w:t>
      </w:r>
    </w:p>
    <w:p w14:paraId="6764BED3">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2.参加文化艺术类主题讲座及报告、人文艺术类文化活动，每次计5分。</w:t>
      </w:r>
    </w:p>
    <w:p w14:paraId="3DAD152F">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3.参观艺术馆、美术馆、博物馆等，每次计3分。</w:t>
      </w:r>
    </w:p>
    <w:p w14:paraId="444EA245">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4.文化艺术活动以第二课堂管理平台记录为准，</w:t>
      </w:r>
      <w:bookmarkStart w:id="9" w:name="_Hlk168565934"/>
      <w:r>
        <w:rPr>
          <w:rFonts w:hint="eastAsia" w:ascii="仿宋_GB2312" w:eastAsia="仿宋_GB2312"/>
          <w:color w:val="auto"/>
          <w:highlight w:val="none"/>
          <w:lang w:eastAsia="zh-CN"/>
        </w:rPr>
        <w:t>未纳入第二课堂管理平台的，需由学院认定后予以计分。</w:t>
      </w:r>
    </w:p>
    <w:bookmarkEnd w:id="9"/>
    <w:p w14:paraId="1237EF01">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（二）美育加分（30分）</w:t>
      </w:r>
    </w:p>
    <w:p w14:paraId="4FFD3A49">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1.文化艺术比赛</w:t>
      </w:r>
    </w:p>
    <w:p w14:paraId="35E881D9">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主要包括校内外组织的歌曲、舞蹈、书法、音乐及绘画等比赛活动。各级各类文化艺术赛事单人或集体项目按下表加分。</w:t>
      </w:r>
    </w:p>
    <w:tbl>
      <w:tblPr>
        <w:tblStyle w:val="5"/>
        <w:tblW w:w="84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1395"/>
        <w:gridCol w:w="1360"/>
        <w:gridCol w:w="1417"/>
        <w:gridCol w:w="2425"/>
      </w:tblGrid>
      <w:tr w14:paraId="15B48F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1853" w:type="dxa"/>
            <w:tcBorders>
              <w:top w:val="single" w:color="auto" w:sz="8" w:space="0"/>
              <w:left w:val="single" w:color="auto" w:sz="8" w:space="0"/>
              <w:bottom w:val="single" w:color="auto" w:sz="4" w:space="0"/>
              <w:right w:val="single" w:color="auto" w:sz="4" w:space="0"/>
              <w:tl2br w:val="single" w:color="auto" w:sz="4" w:space="0"/>
            </w:tcBorders>
            <w:noWrap w:val="0"/>
            <w:vAlign w:val="top"/>
          </w:tcPr>
          <w:p w14:paraId="395C5BCE">
            <w:pPr>
              <w:pageBreakBefore w:val="0"/>
              <w:kinsoku/>
              <w:wordWrap/>
              <w:overflowPunct/>
              <w:topLinePunct w:val="0"/>
              <w:autoSpaceDE/>
              <w:autoSpaceDN/>
              <w:bidi w:val="0"/>
              <w:adjustRightInd/>
              <w:snapToGrid/>
              <w:spacing w:line="360" w:lineRule="auto"/>
              <w:ind w:firstLine="1150" w:firstLineChars="5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分值</w:t>
            </w:r>
          </w:p>
          <w:p w14:paraId="093539AC">
            <w:pPr>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级别</w:t>
            </w:r>
          </w:p>
        </w:tc>
        <w:tc>
          <w:tcPr>
            <w:tcW w:w="1395" w:type="dxa"/>
            <w:tcBorders>
              <w:top w:val="single" w:color="auto" w:sz="8" w:space="0"/>
              <w:left w:val="single" w:color="auto" w:sz="4" w:space="0"/>
              <w:bottom w:val="single" w:color="auto" w:sz="4" w:space="0"/>
              <w:right w:val="single" w:color="auto" w:sz="4" w:space="0"/>
            </w:tcBorders>
            <w:noWrap w:val="0"/>
            <w:vAlign w:val="center"/>
          </w:tcPr>
          <w:p w14:paraId="3BC9671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一等奖</w:t>
            </w:r>
          </w:p>
        </w:tc>
        <w:tc>
          <w:tcPr>
            <w:tcW w:w="1360" w:type="dxa"/>
            <w:tcBorders>
              <w:top w:val="single" w:color="auto" w:sz="8" w:space="0"/>
              <w:left w:val="single" w:color="auto" w:sz="4" w:space="0"/>
              <w:bottom w:val="single" w:color="auto" w:sz="4" w:space="0"/>
              <w:right w:val="single" w:color="auto" w:sz="4" w:space="0"/>
            </w:tcBorders>
            <w:noWrap w:val="0"/>
            <w:vAlign w:val="center"/>
          </w:tcPr>
          <w:p w14:paraId="111F29C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二等奖</w:t>
            </w:r>
          </w:p>
        </w:tc>
        <w:tc>
          <w:tcPr>
            <w:tcW w:w="1417" w:type="dxa"/>
            <w:tcBorders>
              <w:top w:val="single" w:color="auto" w:sz="8" w:space="0"/>
              <w:left w:val="single" w:color="auto" w:sz="4" w:space="0"/>
              <w:bottom w:val="single" w:color="auto" w:sz="4" w:space="0"/>
              <w:right w:val="single" w:color="auto" w:sz="4" w:space="0"/>
            </w:tcBorders>
            <w:noWrap w:val="0"/>
            <w:vAlign w:val="center"/>
          </w:tcPr>
          <w:p w14:paraId="684FE93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三等奖</w:t>
            </w:r>
          </w:p>
        </w:tc>
        <w:tc>
          <w:tcPr>
            <w:tcW w:w="2425" w:type="dxa"/>
            <w:tcBorders>
              <w:top w:val="single" w:color="auto" w:sz="8" w:space="0"/>
              <w:left w:val="single" w:color="auto" w:sz="4" w:space="0"/>
              <w:bottom w:val="single" w:color="auto" w:sz="4" w:space="0"/>
              <w:right w:val="single" w:color="auto" w:sz="8" w:space="0"/>
            </w:tcBorders>
            <w:noWrap w:val="0"/>
            <w:vAlign w:val="center"/>
          </w:tcPr>
          <w:p w14:paraId="6DDB9FD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鼓励奖/优秀奖</w:t>
            </w:r>
          </w:p>
        </w:tc>
      </w:tr>
      <w:tr w14:paraId="5896F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4" w:space="0"/>
              <w:right w:val="single" w:color="auto" w:sz="4" w:space="0"/>
            </w:tcBorders>
            <w:noWrap w:val="0"/>
            <w:vAlign w:val="top"/>
          </w:tcPr>
          <w:p w14:paraId="171C46C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国家级</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4C0CF38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30</w:t>
            </w:r>
          </w:p>
        </w:tc>
        <w:tc>
          <w:tcPr>
            <w:tcW w:w="1360" w:type="dxa"/>
            <w:tcBorders>
              <w:top w:val="single" w:color="auto" w:sz="4" w:space="0"/>
              <w:left w:val="single" w:color="auto" w:sz="4" w:space="0"/>
              <w:bottom w:val="single" w:color="auto" w:sz="4" w:space="0"/>
              <w:right w:val="single" w:color="auto" w:sz="4" w:space="0"/>
            </w:tcBorders>
            <w:noWrap w:val="0"/>
            <w:vAlign w:val="top"/>
          </w:tcPr>
          <w:p w14:paraId="5E18417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25</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75C8DB1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20</w:t>
            </w:r>
          </w:p>
        </w:tc>
        <w:tc>
          <w:tcPr>
            <w:tcW w:w="2425" w:type="dxa"/>
            <w:tcBorders>
              <w:top w:val="single" w:color="auto" w:sz="4" w:space="0"/>
              <w:left w:val="single" w:color="auto" w:sz="4" w:space="0"/>
              <w:bottom w:val="single" w:color="auto" w:sz="4" w:space="0"/>
              <w:right w:val="single" w:color="auto" w:sz="8" w:space="0"/>
            </w:tcBorders>
            <w:noWrap w:val="0"/>
            <w:vAlign w:val="top"/>
          </w:tcPr>
          <w:p w14:paraId="473ACA18">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15</w:t>
            </w:r>
          </w:p>
        </w:tc>
      </w:tr>
      <w:tr w14:paraId="49D16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4" w:space="0"/>
              <w:right w:val="single" w:color="auto" w:sz="4" w:space="0"/>
            </w:tcBorders>
            <w:noWrap w:val="0"/>
            <w:vAlign w:val="top"/>
          </w:tcPr>
          <w:p w14:paraId="56E2BE3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省部级</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174112D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20</w:t>
            </w:r>
          </w:p>
        </w:tc>
        <w:tc>
          <w:tcPr>
            <w:tcW w:w="1360" w:type="dxa"/>
            <w:tcBorders>
              <w:top w:val="single" w:color="auto" w:sz="4" w:space="0"/>
              <w:left w:val="single" w:color="auto" w:sz="4" w:space="0"/>
              <w:bottom w:val="single" w:color="auto" w:sz="4" w:space="0"/>
              <w:right w:val="single" w:color="auto" w:sz="4" w:space="0"/>
            </w:tcBorders>
            <w:noWrap w:val="0"/>
            <w:vAlign w:val="top"/>
          </w:tcPr>
          <w:p w14:paraId="3F8F0EB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15</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6BA4A8B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10</w:t>
            </w:r>
          </w:p>
        </w:tc>
        <w:tc>
          <w:tcPr>
            <w:tcW w:w="2425" w:type="dxa"/>
            <w:tcBorders>
              <w:top w:val="single" w:color="auto" w:sz="4" w:space="0"/>
              <w:left w:val="single" w:color="auto" w:sz="4" w:space="0"/>
              <w:bottom w:val="single" w:color="auto" w:sz="4" w:space="0"/>
              <w:right w:val="single" w:color="auto" w:sz="8" w:space="0"/>
            </w:tcBorders>
            <w:noWrap w:val="0"/>
            <w:vAlign w:val="top"/>
          </w:tcPr>
          <w:p w14:paraId="71FF02B0">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5</w:t>
            </w:r>
          </w:p>
        </w:tc>
      </w:tr>
      <w:tr w14:paraId="6DE75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4" w:space="0"/>
              <w:right w:val="single" w:color="auto" w:sz="4" w:space="0"/>
            </w:tcBorders>
            <w:noWrap w:val="0"/>
            <w:vAlign w:val="top"/>
          </w:tcPr>
          <w:p w14:paraId="416441AC">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校级</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71F3EF7A">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10</w:t>
            </w:r>
          </w:p>
        </w:tc>
        <w:tc>
          <w:tcPr>
            <w:tcW w:w="1360" w:type="dxa"/>
            <w:tcBorders>
              <w:top w:val="single" w:color="auto" w:sz="4" w:space="0"/>
              <w:left w:val="single" w:color="auto" w:sz="4" w:space="0"/>
              <w:bottom w:val="single" w:color="auto" w:sz="4" w:space="0"/>
              <w:right w:val="single" w:color="auto" w:sz="4" w:space="0"/>
            </w:tcBorders>
            <w:noWrap w:val="0"/>
            <w:vAlign w:val="top"/>
          </w:tcPr>
          <w:p w14:paraId="60347544">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8</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5F35750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6</w:t>
            </w:r>
          </w:p>
        </w:tc>
        <w:tc>
          <w:tcPr>
            <w:tcW w:w="2425" w:type="dxa"/>
            <w:tcBorders>
              <w:top w:val="single" w:color="auto" w:sz="4" w:space="0"/>
              <w:left w:val="single" w:color="auto" w:sz="4" w:space="0"/>
              <w:bottom w:val="single" w:color="auto" w:sz="4" w:space="0"/>
              <w:right w:val="single" w:color="auto" w:sz="8" w:space="0"/>
            </w:tcBorders>
            <w:noWrap w:val="0"/>
            <w:vAlign w:val="top"/>
          </w:tcPr>
          <w:p w14:paraId="62B744D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w:t>
            </w:r>
          </w:p>
        </w:tc>
      </w:tr>
      <w:tr w14:paraId="4645E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53" w:type="dxa"/>
            <w:tcBorders>
              <w:top w:val="single" w:color="auto" w:sz="4" w:space="0"/>
              <w:left w:val="single" w:color="auto" w:sz="8" w:space="0"/>
              <w:bottom w:val="single" w:color="auto" w:sz="8" w:space="0"/>
              <w:right w:val="single" w:color="auto" w:sz="4" w:space="0"/>
            </w:tcBorders>
            <w:noWrap w:val="0"/>
            <w:vAlign w:val="top"/>
          </w:tcPr>
          <w:p w14:paraId="796F1491">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院级</w:t>
            </w:r>
          </w:p>
        </w:tc>
        <w:tc>
          <w:tcPr>
            <w:tcW w:w="1395" w:type="dxa"/>
            <w:tcBorders>
              <w:top w:val="single" w:color="auto" w:sz="4" w:space="0"/>
              <w:left w:val="single" w:color="auto" w:sz="4" w:space="0"/>
              <w:bottom w:val="single" w:color="auto" w:sz="8" w:space="0"/>
              <w:right w:val="single" w:color="auto" w:sz="4" w:space="0"/>
            </w:tcBorders>
            <w:noWrap w:val="0"/>
            <w:vAlign w:val="top"/>
          </w:tcPr>
          <w:p w14:paraId="6D51191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6</w:t>
            </w:r>
          </w:p>
        </w:tc>
        <w:tc>
          <w:tcPr>
            <w:tcW w:w="1360" w:type="dxa"/>
            <w:tcBorders>
              <w:top w:val="single" w:color="auto" w:sz="4" w:space="0"/>
              <w:left w:val="single" w:color="auto" w:sz="4" w:space="0"/>
              <w:bottom w:val="single" w:color="auto" w:sz="8" w:space="0"/>
              <w:right w:val="single" w:color="auto" w:sz="4" w:space="0"/>
            </w:tcBorders>
            <w:noWrap w:val="0"/>
            <w:vAlign w:val="top"/>
          </w:tcPr>
          <w:p w14:paraId="4809230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w:t>
            </w:r>
          </w:p>
        </w:tc>
        <w:tc>
          <w:tcPr>
            <w:tcW w:w="1417" w:type="dxa"/>
            <w:tcBorders>
              <w:top w:val="single" w:color="auto" w:sz="4" w:space="0"/>
              <w:left w:val="single" w:color="auto" w:sz="4" w:space="0"/>
              <w:bottom w:val="single" w:color="auto" w:sz="8" w:space="0"/>
              <w:right w:val="single" w:color="auto" w:sz="4" w:space="0"/>
            </w:tcBorders>
            <w:noWrap w:val="0"/>
            <w:vAlign w:val="top"/>
          </w:tcPr>
          <w:p w14:paraId="1F16C1F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w:t>
            </w:r>
          </w:p>
        </w:tc>
        <w:tc>
          <w:tcPr>
            <w:tcW w:w="2425" w:type="dxa"/>
            <w:tcBorders>
              <w:top w:val="single" w:color="auto" w:sz="4" w:space="0"/>
              <w:left w:val="single" w:color="auto" w:sz="4" w:space="0"/>
              <w:bottom w:val="single" w:color="auto" w:sz="8" w:space="0"/>
              <w:right w:val="single" w:color="auto" w:sz="8" w:space="0"/>
            </w:tcBorders>
            <w:noWrap w:val="0"/>
            <w:vAlign w:val="top"/>
          </w:tcPr>
          <w:p w14:paraId="029540CE">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w:t>
            </w:r>
          </w:p>
        </w:tc>
      </w:tr>
    </w:tbl>
    <w:p w14:paraId="4C02AE49">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2.文化艺术作品</w:t>
      </w:r>
    </w:p>
    <w:p w14:paraId="1A294CB1">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作品主要包括文学、绘画、书法、音乐、摄影等。发表的平台包括公开出版发行的国家级、省部级、地市级和校级纸质媒体，国家级、省部级、地市级和校级的官方主流媒体网站（或相当于）。国家级、省部级、地市级和校级每项作品，分别计入10分、8分、6分、4分。</w:t>
      </w:r>
    </w:p>
    <w:p w14:paraId="4AC6C526">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3.同一比赛仅取最高奖励级别加分，各项加分可累加，但校级及以下赛事和文化艺术作品加分上限不超过20分。</w:t>
      </w:r>
    </w:p>
    <w:p w14:paraId="4A79730A">
      <w:pPr>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仿宋_GB2312" w:eastAsia="仿宋_GB2312"/>
          <w:b/>
          <w:bCs/>
          <w:color w:val="auto"/>
          <w:sz w:val="28"/>
          <w:szCs w:val="28"/>
          <w:highlight w:val="none"/>
          <w:lang w:val="en-US" w:eastAsia="zh-CN"/>
        </w:rPr>
      </w:pPr>
      <w:r>
        <w:rPr>
          <w:rFonts w:hint="eastAsia" w:ascii="仿宋_GB2312" w:eastAsia="仿宋_GB2312"/>
          <w:b/>
          <w:bCs/>
          <w:color w:val="auto"/>
          <w:sz w:val="28"/>
          <w:szCs w:val="28"/>
          <w:highlight w:val="none"/>
          <w:lang w:val="en-US" w:eastAsia="zh-CN"/>
        </w:rPr>
        <w:t>七、劳</w:t>
      </w:r>
      <w:r>
        <w:rPr>
          <w:rFonts w:hint="eastAsia" w:ascii="仿宋_GB2312" w:eastAsia="仿宋_GB2312"/>
          <w:b/>
          <w:bCs/>
          <w:color w:val="auto"/>
          <w:sz w:val="28"/>
          <w:szCs w:val="28"/>
          <w:highlight w:val="none"/>
          <w:lang w:eastAsia="zh-CN"/>
        </w:rPr>
        <w:t>育成绩</w:t>
      </w:r>
      <w:r>
        <w:rPr>
          <w:rFonts w:hint="eastAsia" w:ascii="仿宋_GB2312" w:eastAsia="仿宋_GB2312"/>
          <w:b/>
          <w:bCs/>
          <w:color w:val="auto"/>
          <w:sz w:val="28"/>
          <w:szCs w:val="28"/>
          <w:highlight w:val="none"/>
          <w:lang w:val="en-US" w:eastAsia="zh-CN"/>
        </w:rPr>
        <w:t>计算</w:t>
      </w:r>
    </w:p>
    <w:p w14:paraId="36631AF3">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劳育成绩（100分）=劳动实践（70分）+劳育加分（30分）</w:t>
      </w:r>
    </w:p>
    <w:p w14:paraId="7C20B1BA">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（一）劳动实践（70分）</w:t>
      </w:r>
    </w:p>
    <w:p w14:paraId="14743D65">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1.维护宿舍卫生，积极参加宿舍卫生清扫（10分）。在校院两级宿舍卫生检查中，不合格一次扣2分。</w:t>
      </w:r>
    </w:p>
    <w:p w14:paraId="61427CBE">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积极参加学校、学院、班级等组织的各类校园劳动实践活动，包括校园卫生、垃圾分类、教室清洁、实验室维护、食堂劳动、勤工助学（劳动类）等，每学年劳动时长达到20小时者计20分，低于20小时者折算计分。</w:t>
      </w:r>
    </w:p>
    <w:p w14:paraId="02DBA74B">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3.积极参加学校、学院、班级等组织开展的劳动实践类专题讲座或报告（10分），每学年达到4次者计10分，低于4次者折算计分，以第二课堂管理平台记录为准。</w:t>
      </w:r>
    </w:p>
    <w:p w14:paraId="0072B567">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4.践行“奉献、友爱、互助、进步”的青年志愿者精神，积极参加学校、学院、班级等组织的各类志愿服务活动，每学年志愿服务时长达到20小时者计20分，低于20小时者折算计分。</w:t>
      </w:r>
    </w:p>
    <w:p w14:paraId="318E93BF">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5.按照学校要求，在校外积极开展社会实践活动，完成当学年社会实践任务的计10分，未完成社会实践任务者不计分。</w:t>
      </w:r>
    </w:p>
    <w:p w14:paraId="16F8F48A">
      <w:pPr>
        <w:pageBreakBefore w:val="0"/>
        <w:kinsoku/>
        <w:wordWrap/>
        <w:overflowPunct/>
        <w:topLinePunct w:val="0"/>
        <w:autoSpaceDE/>
        <w:autoSpaceDN/>
        <w:bidi w:val="0"/>
        <w:adjustRightInd/>
        <w:snapToGrid/>
        <w:spacing w:line="360" w:lineRule="auto"/>
        <w:ind w:firstLine="462" w:firstLineChars="200"/>
        <w:textAlignment w:val="auto"/>
        <w:rPr>
          <w:rFonts w:hint="eastAsia" w:ascii="仿宋_GB2312" w:eastAsia="仿宋_GB2312"/>
          <w:b/>
          <w:bCs/>
          <w:color w:val="auto"/>
          <w:highlight w:val="none"/>
          <w:lang w:eastAsia="zh-CN"/>
        </w:rPr>
      </w:pPr>
      <w:r>
        <w:rPr>
          <w:rFonts w:hint="eastAsia" w:ascii="仿宋_GB2312" w:eastAsia="仿宋_GB2312"/>
          <w:b/>
          <w:bCs/>
          <w:color w:val="auto"/>
          <w:highlight w:val="none"/>
          <w:lang w:eastAsia="zh-CN"/>
        </w:rPr>
        <w:t>（二）劳育加分（30分）</w:t>
      </w:r>
    </w:p>
    <w:p w14:paraId="5B070779">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1.个人在志愿服务、劳动实践等活动中获评国家级、省部级、地市级、校级、院级荣誉的，分别计入10分、8分、6分、4分、2分。同一项目或活动仅取最高奖励级别加分，获得多项荣誉的，可累加。</w:t>
      </w:r>
    </w:p>
    <w:p w14:paraId="4E00316D">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2.努力提高社会实践能力，在社会实践活动中个人获得国家级、省部级、地市级、校级、院级荣誉的，分别计10分、8分、6分、4分、2分，集体获奖团队每人计入相应分数。同一项目或活动仅取最高奖励级别加分，获得多项荣誉的，可累加。</w:t>
      </w:r>
    </w:p>
    <w:p w14:paraId="31E5E100">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3.积极参加培养方案以外的企业、专业实训基地、实习基地等各类实习的，经学院认定，可加1-5分。</w:t>
      </w:r>
    </w:p>
    <w:p w14:paraId="3E785BA4">
      <w:pPr>
        <w:pageBreakBefore w:val="0"/>
        <w:kinsoku/>
        <w:wordWrap/>
        <w:overflowPunct/>
        <w:topLinePunct w:val="0"/>
        <w:autoSpaceDE/>
        <w:autoSpaceDN/>
        <w:bidi w:val="0"/>
        <w:adjustRightInd/>
        <w:snapToGrid/>
        <w:spacing w:line="360" w:lineRule="auto"/>
        <w:ind w:left="0" w:leftChars="0" w:firstLine="0" w:firstLineChars="0"/>
        <w:textAlignment w:val="auto"/>
        <w:rPr>
          <w:rFonts w:ascii="仿宋_GB2312" w:eastAsia="仿宋_GB2312"/>
          <w:b/>
          <w:bCs/>
          <w:color w:val="auto"/>
          <w:sz w:val="28"/>
          <w:szCs w:val="28"/>
          <w:highlight w:val="none"/>
          <w:lang w:eastAsia="zh-CN"/>
        </w:rPr>
      </w:pPr>
      <w:r>
        <w:rPr>
          <w:rFonts w:hint="eastAsia" w:ascii="仿宋_GB2312" w:eastAsia="仿宋_GB2312"/>
          <w:b/>
          <w:bCs/>
          <w:color w:val="auto"/>
          <w:sz w:val="28"/>
          <w:szCs w:val="28"/>
          <w:highlight w:val="none"/>
          <w:lang w:val="en-US" w:eastAsia="zh-CN"/>
        </w:rPr>
        <w:t>八</w:t>
      </w:r>
      <w:r>
        <w:rPr>
          <w:rFonts w:hint="eastAsia" w:ascii="仿宋_GB2312" w:eastAsia="仿宋_GB2312"/>
          <w:b/>
          <w:bCs/>
          <w:color w:val="auto"/>
          <w:sz w:val="28"/>
          <w:szCs w:val="28"/>
          <w:highlight w:val="none"/>
          <w:lang w:eastAsia="zh-CN"/>
        </w:rPr>
        <w:t>、相关说明</w:t>
      </w:r>
    </w:p>
    <w:p w14:paraId="12FE57BB">
      <w:pPr>
        <w:pageBreakBefore w:val="0"/>
        <w:kinsoku/>
        <w:wordWrap/>
        <w:overflowPunct/>
        <w:topLinePunct w:val="0"/>
        <w:autoSpaceDE/>
        <w:autoSpaceDN/>
        <w:bidi w:val="0"/>
        <w:adjustRightInd/>
        <w:snapToGrid/>
        <w:spacing w:line="360" w:lineRule="auto"/>
        <w:ind w:firstLine="460" w:firstLineChars="200"/>
        <w:textAlignment w:val="auto"/>
        <w:rPr>
          <w:rFonts w:hint="eastAsia" w:ascii="仿宋_GB2312" w:eastAsia="仿宋_GB2312"/>
          <w:color w:val="auto"/>
          <w:highlight w:val="none"/>
          <w:lang w:eastAsia="zh-CN"/>
        </w:rPr>
      </w:pPr>
      <w:r>
        <w:rPr>
          <w:rFonts w:hint="eastAsia" w:ascii="仿宋_GB2312" w:eastAsia="仿宋_GB2312"/>
          <w:color w:val="auto"/>
          <w:highlight w:val="none"/>
          <w:lang w:eastAsia="zh-CN"/>
        </w:rPr>
        <w:t>1.本</w:t>
      </w:r>
      <w:r>
        <w:rPr>
          <w:rFonts w:hint="eastAsia" w:ascii="仿宋_GB2312" w:eastAsia="仿宋_GB2312"/>
          <w:color w:val="auto"/>
          <w:highlight w:val="none"/>
          <w:lang w:val="en-US" w:eastAsia="zh-CN"/>
        </w:rPr>
        <w:t>细则</w:t>
      </w:r>
      <w:r>
        <w:rPr>
          <w:rFonts w:hint="eastAsia" w:ascii="仿宋_GB2312" w:eastAsia="仿宋_GB2312"/>
          <w:color w:val="auto"/>
          <w:highlight w:val="none"/>
          <w:lang w:eastAsia="zh-CN"/>
        </w:rPr>
        <w:t>适用于我校2024年及以后入学学生，2023年及以前入学学生按原有办法执行。</w:t>
      </w:r>
    </w:p>
    <w:p w14:paraId="21E7EFA8">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val="en-US" w:eastAsia="zh-CN"/>
        </w:rPr>
        <w:t>2.</w:t>
      </w:r>
      <w:r>
        <w:rPr>
          <w:rFonts w:hint="eastAsia" w:ascii="仿宋_GB2312" w:eastAsia="仿宋_GB2312"/>
          <w:color w:val="auto"/>
          <w:highlight w:val="none"/>
          <w:lang w:eastAsia="zh-CN"/>
        </w:rPr>
        <w:t>各班级成立由</w:t>
      </w:r>
      <w:r>
        <w:rPr>
          <w:rFonts w:hint="eastAsia" w:ascii="仿宋_GB2312" w:eastAsia="仿宋_GB2312"/>
          <w:color w:val="auto"/>
          <w:highlight w:val="none"/>
          <w:lang w:eastAsia="zh-Hans"/>
        </w:rPr>
        <w:t>本科</w:t>
      </w:r>
      <w:r>
        <w:rPr>
          <w:rFonts w:hint="eastAsia" w:ascii="仿宋_GB2312" w:eastAsia="仿宋_GB2312"/>
          <w:color w:val="auto"/>
          <w:highlight w:val="none"/>
          <w:lang w:eastAsia="zh-CN"/>
        </w:rPr>
        <w:t>辅导员（组长）、主要学生干部（</w:t>
      </w:r>
      <w:r>
        <w:rPr>
          <w:rFonts w:hint="eastAsia" w:ascii="仿宋_GB2312" w:eastAsia="仿宋_GB2312"/>
          <w:color w:val="auto"/>
          <w:highlight w:val="none"/>
          <w:lang w:eastAsia="zh-Hans"/>
        </w:rPr>
        <w:t>班长</w:t>
      </w:r>
      <w:r>
        <w:rPr>
          <w:rFonts w:hint="eastAsia" w:ascii="仿宋_GB2312" w:eastAsia="仿宋_GB2312"/>
          <w:color w:val="auto"/>
          <w:highlight w:val="none"/>
          <w:lang w:eastAsia="zh-CN"/>
        </w:rPr>
        <w:t>、团支部）以及学生代表组成的</w:t>
      </w:r>
      <w:r>
        <w:rPr>
          <w:rFonts w:hint="eastAsia" w:ascii="仿宋_GB2312" w:eastAsia="仿宋_GB2312"/>
          <w:color w:val="auto"/>
          <w:highlight w:val="none"/>
          <w:lang w:eastAsia="zh-Hans"/>
        </w:rPr>
        <w:t>本科生</w:t>
      </w:r>
      <w:r>
        <w:rPr>
          <w:rFonts w:hint="eastAsia" w:ascii="仿宋_GB2312" w:eastAsia="仿宋_GB2312"/>
          <w:color w:val="auto"/>
          <w:highlight w:val="none"/>
          <w:lang w:eastAsia="zh-CN"/>
        </w:rPr>
        <w:t>综合测评工作小组，小组成员数要占学生数1/3以上。</w:t>
      </w:r>
    </w:p>
    <w:p w14:paraId="6E8DADD8">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val="en-US" w:eastAsia="zh-CN"/>
        </w:rPr>
        <w:t>3</w:t>
      </w:r>
      <w:r>
        <w:rPr>
          <w:rFonts w:hint="eastAsia" w:ascii="仿宋_GB2312" w:eastAsia="仿宋_GB2312"/>
          <w:color w:val="auto"/>
          <w:highlight w:val="none"/>
          <w:lang w:eastAsia="zh-CN"/>
        </w:rPr>
        <w:t>.各班在完成测评工作后，需将测评结果及时在班级公示。</w:t>
      </w:r>
    </w:p>
    <w:p w14:paraId="0F2BB877">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val="en-US" w:eastAsia="zh-CN"/>
        </w:rPr>
        <w:t>4</w:t>
      </w:r>
      <w:r>
        <w:rPr>
          <w:rFonts w:hint="eastAsia" w:ascii="仿宋_GB2312" w:eastAsia="仿宋_GB2312"/>
          <w:color w:val="auto"/>
          <w:highlight w:val="none"/>
          <w:lang w:eastAsia="zh-CN"/>
        </w:rPr>
        <w:t>.综合测评过程中如有弄虚作假者，一经发现一律取消参评资格，严重者按规定给予纪律处分。</w:t>
      </w:r>
    </w:p>
    <w:p w14:paraId="3FBA91A7">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val="en-US" w:eastAsia="zh-CN"/>
        </w:rPr>
        <w:t>5</w:t>
      </w:r>
      <w:r>
        <w:rPr>
          <w:rFonts w:hint="eastAsia" w:ascii="仿宋_GB2312" w:eastAsia="仿宋_GB2312"/>
          <w:color w:val="auto"/>
          <w:highlight w:val="none"/>
          <w:lang w:eastAsia="zh-CN"/>
        </w:rPr>
        <w:t>.如遇难以界定的申请加分项，由学院综合测评领导小组统一认定。</w:t>
      </w:r>
    </w:p>
    <w:p w14:paraId="6A0013BF">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val="en-US" w:eastAsia="zh-CN"/>
        </w:rPr>
        <w:t>6</w:t>
      </w:r>
      <w:r>
        <w:rPr>
          <w:rFonts w:hint="eastAsia" w:ascii="仿宋_GB2312" w:eastAsia="仿宋_GB2312"/>
          <w:color w:val="auto"/>
          <w:highlight w:val="none"/>
          <w:lang w:eastAsia="zh-CN"/>
        </w:rPr>
        <w:t>.本补充规定由理学院</w:t>
      </w:r>
      <w:r>
        <w:rPr>
          <w:rFonts w:hint="eastAsia" w:ascii="仿宋_GB2312" w:eastAsia="仿宋_GB2312"/>
          <w:color w:val="auto"/>
          <w:highlight w:val="none"/>
          <w:lang w:eastAsia="zh-Hans"/>
        </w:rPr>
        <w:t>本科生</w:t>
      </w:r>
      <w:r>
        <w:rPr>
          <w:rFonts w:hint="eastAsia" w:ascii="仿宋_GB2312" w:eastAsia="仿宋_GB2312"/>
          <w:color w:val="auto"/>
          <w:highlight w:val="none"/>
          <w:lang w:eastAsia="zh-CN"/>
        </w:rPr>
        <w:t>综合测评领导小组负责解释。</w:t>
      </w:r>
    </w:p>
    <w:p w14:paraId="6D2E7C5B">
      <w:pPr>
        <w:pageBreakBefore w:val="0"/>
        <w:kinsoku/>
        <w:wordWrap/>
        <w:overflowPunct/>
        <w:topLinePunct w:val="0"/>
        <w:autoSpaceDE/>
        <w:autoSpaceDN/>
        <w:bidi w:val="0"/>
        <w:adjustRightInd/>
        <w:snapToGrid/>
        <w:spacing w:line="360" w:lineRule="auto"/>
        <w:ind w:firstLine="460" w:firstLineChars="200"/>
        <w:textAlignment w:val="auto"/>
        <w:rPr>
          <w:rFonts w:ascii="仿宋_GB2312" w:eastAsia="仿宋_GB2312"/>
          <w:color w:val="auto"/>
          <w:highlight w:val="none"/>
          <w:lang w:eastAsia="zh-CN"/>
        </w:rPr>
      </w:pPr>
      <w:r>
        <w:rPr>
          <w:rFonts w:hint="eastAsia" w:ascii="仿宋_GB2312" w:eastAsia="仿宋_GB2312"/>
          <w:color w:val="auto"/>
          <w:highlight w:val="none"/>
          <w:lang w:val="en-US" w:eastAsia="zh-CN"/>
        </w:rPr>
        <w:t>7</w:t>
      </w:r>
      <w:r>
        <w:rPr>
          <w:rFonts w:hint="eastAsia" w:ascii="仿宋_GB2312" w:eastAsia="仿宋_GB2312"/>
          <w:color w:val="auto"/>
          <w:highlight w:val="none"/>
          <w:lang w:eastAsia="zh-CN"/>
        </w:rPr>
        <w:t>.本</w:t>
      </w:r>
      <w:r>
        <w:rPr>
          <w:rFonts w:ascii="仿宋_GB2312" w:eastAsia="仿宋_GB2312"/>
          <w:color w:val="auto"/>
          <w:highlight w:val="none"/>
          <w:lang w:eastAsia="zh-CN"/>
        </w:rPr>
        <w:t>补充规定若有变化以最新版为</w:t>
      </w:r>
      <w:r>
        <w:rPr>
          <w:rFonts w:hint="eastAsia" w:ascii="仿宋_GB2312" w:eastAsia="仿宋_GB2312"/>
          <w:color w:val="auto"/>
          <w:highlight w:val="none"/>
          <w:lang w:eastAsia="zh-CN"/>
        </w:rPr>
        <w:t>准</w:t>
      </w:r>
      <w:r>
        <w:rPr>
          <w:rFonts w:ascii="仿宋_GB2312" w:eastAsia="仿宋_GB2312"/>
          <w:color w:val="auto"/>
          <w:highlight w:val="none"/>
          <w:lang w:eastAsia="zh-CN"/>
        </w:rPr>
        <w:t>，旧版作废。</w:t>
      </w:r>
    </w:p>
    <w:p w14:paraId="149C67E3">
      <w:pPr>
        <w:pageBreakBefore w:val="0"/>
        <w:kinsoku/>
        <w:wordWrap/>
        <w:overflowPunct/>
        <w:topLinePunct w:val="0"/>
        <w:autoSpaceDE/>
        <w:autoSpaceDN/>
        <w:bidi w:val="0"/>
        <w:adjustRightInd/>
        <w:snapToGrid/>
        <w:spacing w:line="360" w:lineRule="auto"/>
        <w:textAlignment w:val="auto"/>
        <w:rPr>
          <w:rFonts w:ascii="仿宋_GB2312" w:eastAsia="仿宋_GB2312"/>
          <w:color w:val="auto"/>
          <w:highlight w:val="none"/>
          <w:lang w:eastAsia="zh-CN"/>
        </w:rPr>
      </w:pPr>
      <w:r>
        <w:rPr>
          <w:rFonts w:ascii="仿宋_GB2312" w:eastAsia="仿宋_GB2312"/>
          <w:color w:val="auto"/>
          <w:highlight w:val="none"/>
          <w:lang w:eastAsia="zh-CN"/>
        </w:rPr>
        <w:br w:type="page"/>
      </w:r>
    </w:p>
    <w:p w14:paraId="44F1E6A3">
      <w:pPr>
        <w:pStyle w:val="2"/>
        <w:pageBreakBefore w:val="0"/>
        <w:kinsoku/>
        <w:wordWrap/>
        <w:overflowPunct/>
        <w:topLinePunct w:val="0"/>
        <w:autoSpaceDE/>
        <w:autoSpaceDN/>
        <w:bidi w:val="0"/>
        <w:adjustRightInd/>
        <w:snapToGrid/>
        <w:spacing w:line="360" w:lineRule="auto"/>
        <w:jc w:val="both"/>
        <w:textAlignment w:val="auto"/>
        <w:rPr>
          <w:rFonts w:hint="eastAsia" w:ascii="黑体" w:hAnsi="黑体" w:eastAsia="黑体" w:cs="黑体"/>
          <w:color w:val="auto"/>
          <w:sz w:val="32"/>
          <w:szCs w:val="48"/>
          <w:highlight w:val="none"/>
          <w:lang w:val="en-US" w:eastAsia="zh-CN"/>
        </w:rPr>
      </w:pPr>
      <w:r>
        <w:rPr>
          <w:rFonts w:hint="eastAsia" w:ascii="黑体" w:hAnsi="黑体" w:eastAsia="黑体" w:cs="黑体"/>
          <w:color w:val="auto"/>
          <w:sz w:val="32"/>
          <w:szCs w:val="48"/>
          <w:highlight w:val="none"/>
          <w:lang w:val="en-US" w:eastAsia="zh-CN"/>
        </w:rPr>
        <w:t>附件1：</w:t>
      </w:r>
    </w:p>
    <w:p w14:paraId="0F29D342">
      <w:pPr>
        <w:pStyle w:val="2"/>
        <w:pageBreakBefore w:val="0"/>
        <w:kinsoku/>
        <w:wordWrap/>
        <w:overflowPunct/>
        <w:topLinePunct w:val="0"/>
        <w:autoSpaceDE/>
        <w:autoSpaceDN/>
        <w:bidi w:val="0"/>
        <w:adjustRightInd/>
        <w:snapToGrid/>
        <w:spacing w:line="360" w:lineRule="auto"/>
        <w:jc w:val="center"/>
        <w:textAlignment w:val="auto"/>
        <w:rPr>
          <w:rFonts w:hint="eastAsia" w:ascii="黑体" w:hAnsi="黑体" w:eastAsia="黑体" w:cs="黑体"/>
          <w:color w:val="auto"/>
          <w:sz w:val="32"/>
          <w:szCs w:val="48"/>
          <w:highlight w:val="none"/>
          <w:lang w:val="en-US" w:eastAsia="zh-CN"/>
        </w:rPr>
      </w:pPr>
      <w:r>
        <w:rPr>
          <w:rFonts w:hint="eastAsia" w:ascii="黑体" w:hAnsi="黑体" w:eastAsia="黑体" w:cs="黑体"/>
          <w:color w:val="auto"/>
          <w:sz w:val="32"/>
          <w:szCs w:val="48"/>
          <w:highlight w:val="none"/>
          <w:lang w:val="en-US" w:eastAsia="zh-CN"/>
        </w:rPr>
        <w:t>学年综合测评学生思想品德测评打分表</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455"/>
        <w:gridCol w:w="1422"/>
        <w:gridCol w:w="1407"/>
        <w:gridCol w:w="1407"/>
        <w:gridCol w:w="1407"/>
        <w:gridCol w:w="1407"/>
        <w:gridCol w:w="455"/>
      </w:tblGrid>
      <w:tr w14:paraId="09EF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0" w:type="auto"/>
            <w:vMerge w:val="restart"/>
            <w:vAlign w:val="center"/>
          </w:tcPr>
          <w:p w14:paraId="529A4EDC">
            <w:pPr>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学号</w:t>
            </w:r>
          </w:p>
        </w:tc>
        <w:tc>
          <w:tcPr>
            <w:tcW w:w="0" w:type="auto"/>
            <w:vMerge w:val="restart"/>
            <w:vAlign w:val="center"/>
          </w:tcPr>
          <w:p w14:paraId="04D03D7E">
            <w:pPr>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姓名</w:t>
            </w:r>
          </w:p>
        </w:tc>
        <w:tc>
          <w:tcPr>
            <w:tcW w:w="0" w:type="auto"/>
            <w:vAlign w:val="center"/>
          </w:tcPr>
          <w:p w14:paraId="43D3D002">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理想信念</w:t>
            </w:r>
          </w:p>
          <w:p w14:paraId="2FDFB04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（0-20分）</w:t>
            </w:r>
          </w:p>
        </w:tc>
        <w:tc>
          <w:tcPr>
            <w:tcW w:w="0" w:type="auto"/>
            <w:vAlign w:val="center"/>
          </w:tcPr>
          <w:p w14:paraId="337A353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集体观念</w:t>
            </w:r>
          </w:p>
          <w:p w14:paraId="725832E7">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（0-20分）</w:t>
            </w:r>
          </w:p>
        </w:tc>
        <w:tc>
          <w:tcPr>
            <w:tcW w:w="0" w:type="auto"/>
            <w:vAlign w:val="center"/>
          </w:tcPr>
          <w:p w14:paraId="3CA5C366">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公共道德</w:t>
            </w:r>
          </w:p>
          <w:p w14:paraId="3E460715">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（0-20分）</w:t>
            </w:r>
          </w:p>
        </w:tc>
        <w:tc>
          <w:tcPr>
            <w:tcW w:w="0" w:type="auto"/>
            <w:vAlign w:val="center"/>
          </w:tcPr>
          <w:p w14:paraId="1F8A811B">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学习态度</w:t>
            </w:r>
          </w:p>
          <w:p w14:paraId="1F879F6F">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lang w:eastAsia="zh-CN"/>
              </w:rPr>
              <w:t>（</w:t>
            </w:r>
            <w:r>
              <w:rPr>
                <w:rFonts w:hint="eastAsia" w:ascii="仿宋_GB2312" w:hAnsi="仿宋_GB2312" w:eastAsia="仿宋_GB2312" w:cs="仿宋_GB2312"/>
                <w:color w:val="auto"/>
                <w:kern w:val="0"/>
                <w:sz w:val="23"/>
                <w:szCs w:val="23"/>
              </w:rPr>
              <w:t>0-20分）</w:t>
            </w:r>
          </w:p>
        </w:tc>
        <w:tc>
          <w:tcPr>
            <w:tcW w:w="0" w:type="auto"/>
            <w:vAlign w:val="center"/>
          </w:tcPr>
          <w:p w14:paraId="30FC28C3">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组织纪律</w:t>
            </w:r>
          </w:p>
          <w:p w14:paraId="54B48699">
            <w:pPr>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（0-20分）</w:t>
            </w:r>
          </w:p>
        </w:tc>
        <w:tc>
          <w:tcPr>
            <w:tcW w:w="0" w:type="auto"/>
            <w:vMerge w:val="restart"/>
            <w:vAlign w:val="center"/>
          </w:tcPr>
          <w:p w14:paraId="2C9C798B">
            <w:pPr>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auto"/>
                <w:kern w:val="0"/>
                <w:sz w:val="23"/>
                <w:szCs w:val="23"/>
              </w:rPr>
            </w:pPr>
            <w:r>
              <w:rPr>
                <w:rFonts w:hint="eastAsia" w:ascii="仿宋_GB2312" w:hAnsi="仿宋_GB2312" w:eastAsia="仿宋_GB2312" w:cs="仿宋_GB2312"/>
                <w:color w:val="auto"/>
                <w:kern w:val="0"/>
                <w:sz w:val="23"/>
                <w:szCs w:val="23"/>
              </w:rPr>
              <w:t>总计</w:t>
            </w:r>
          </w:p>
        </w:tc>
      </w:tr>
      <w:tr w14:paraId="1BDA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0" w:type="auto"/>
            <w:vMerge w:val="continue"/>
            <w:vAlign w:val="center"/>
          </w:tcPr>
          <w:p w14:paraId="48123AA8">
            <w:pPr>
              <w:pageBreakBefore w:val="0"/>
              <w:kinsoku/>
              <w:wordWrap/>
              <w:overflowPunct/>
              <w:topLinePunct w:val="0"/>
              <w:autoSpaceDE/>
              <w:autoSpaceDN/>
              <w:bidi w:val="0"/>
              <w:adjustRightInd/>
              <w:snapToGrid/>
              <w:spacing w:line="360" w:lineRule="auto"/>
              <w:textAlignment w:val="auto"/>
              <w:rPr>
                <w:rFonts w:ascii="仿宋" w:hAnsi="仿宋" w:eastAsia="仿宋"/>
                <w:color w:val="auto"/>
                <w:kern w:val="0"/>
                <w:sz w:val="20"/>
              </w:rPr>
            </w:pPr>
          </w:p>
        </w:tc>
        <w:tc>
          <w:tcPr>
            <w:tcW w:w="0" w:type="auto"/>
            <w:vMerge w:val="continue"/>
            <w:vAlign w:val="center"/>
          </w:tcPr>
          <w:p w14:paraId="7E6121DC">
            <w:pPr>
              <w:pageBreakBefore w:val="0"/>
              <w:kinsoku/>
              <w:wordWrap/>
              <w:overflowPunct/>
              <w:topLinePunct w:val="0"/>
              <w:autoSpaceDE/>
              <w:autoSpaceDN/>
              <w:bidi w:val="0"/>
              <w:adjustRightInd/>
              <w:snapToGrid/>
              <w:spacing w:line="360" w:lineRule="auto"/>
              <w:textAlignment w:val="auto"/>
              <w:rPr>
                <w:rFonts w:ascii="仿宋" w:hAnsi="仿宋" w:eastAsia="仿宋"/>
                <w:color w:val="auto"/>
                <w:kern w:val="0"/>
                <w:sz w:val="20"/>
              </w:rPr>
            </w:pPr>
          </w:p>
        </w:tc>
        <w:tc>
          <w:tcPr>
            <w:tcW w:w="0" w:type="auto"/>
          </w:tcPr>
          <w:p w14:paraId="6F5CE529">
            <w:pPr>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ascii="仿宋" w:hAnsi="仿宋" w:eastAsia="仿宋"/>
                <w:color w:val="auto"/>
                <w:kern w:val="0"/>
                <w:sz w:val="20"/>
              </w:rPr>
            </w:pPr>
            <w:r>
              <w:rPr>
                <w:rFonts w:hint="eastAsia" w:ascii="仿宋" w:hAnsi="仿宋" w:eastAsia="仿宋"/>
                <w:color w:val="auto"/>
                <w:kern w:val="0"/>
                <w:sz w:val="20"/>
              </w:rPr>
              <w:t>坚定理想信念，厚植爱国主义情怀，热爱和拥护</w:t>
            </w:r>
            <w:r>
              <w:rPr>
                <w:rFonts w:hint="eastAsia" w:ascii="仿宋" w:hAnsi="仿宋" w:eastAsia="仿宋"/>
                <w:color w:val="auto"/>
                <w:kern w:val="0"/>
                <w:sz w:val="20"/>
                <w:lang w:eastAsia="zh-CN"/>
              </w:rPr>
              <w:t>中国共产党</w:t>
            </w:r>
            <w:r>
              <w:rPr>
                <w:rFonts w:hint="eastAsia" w:ascii="仿宋" w:hAnsi="仿宋" w:eastAsia="仿宋"/>
                <w:color w:val="auto"/>
                <w:kern w:val="0"/>
                <w:sz w:val="20"/>
              </w:rPr>
              <w:t>，树立正确的世界观、人生观和价值观；自觉加强思想政治修养，积极参加各项政治理论学习和教育活动</w:t>
            </w:r>
          </w:p>
        </w:tc>
        <w:tc>
          <w:tcPr>
            <w:tcW w:w="0" w:type="auto"/>
          </w:tcPr>
          <w:p w14:paraId="59D059FE">
            <w:pPr>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ascii="仿宋" w:hAnsi="仿宋" w:eastAsia="仿宋"/>
                <w:color w:val="auto"/>
                <w:kern w:val="0"/>
                <w:sz w:val="20"/>
              </w:rPr>
            </w:pPr>
            <w:r>
              <w:rPr>
                <w:rFonts w:hint="eastAsia" w:ascii="仿宋" w:hAnsi="仿宋" w:eastAsia="仿宋"/>
                <w:color w:val="auto"/>
                <w:kern w:val="0"/>
                <w:sz w:val="20"/>
              </w:rPr>
              <w:t>顾全大局，有团队协作精神；树立集体荣誉感和集体主义观念，热爱集体、关心集体，积极参与集体各项活动；团结同学，乐于奉献，营造和谐团结的集体氛围</w:t>
            </w:r>
          </w:p>
        </w:tc>
        <w:tc>
          <w:tcPr>
            <w:tcW w:w="0" w:type="auto"/>
          </w:tcPr>
          <w:p w14:paraId="2919481B">
            <w:pPr>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ascii="仿宋" w:hAnsi="仿宋" w:eastAsia="仿宋"/>
                <w:color w:val="auto"/>
                <w:kern w:val="0"/>
                <w:sz w:val="20"/>
              </w:rPr>
            </w:pPr>
            <w:r>
              <w:rPr>
                <w:rFonts w:hint="eastAsia" w:ascii="仿宋" w:hAnsi="仿宋" w:eastAsia="仿宋"/>
                <w:color w:val="auto"/>
                <w:kern w:val="0"/>
                <w:sz w:val="20"/>
              </w:rPr>
              <w:t>加强品德修养，自觉维护社会公德，尊老爱幼、尊敬师长；在公共场所举止文明，待人礼貌，爱护公物；保护环境，牢固树立环保意识；敢于同不良行为作斗争</w:t>
            </w:r>
          </w:p>
        </w:tc>
        <w:tc>
          <w:tcPr>
            <w:tcW w:w="0" w:type="auto"/>
          </w:tcPr>
          <w:p w14:paraId="49EFFDB0">
            <w:pPr>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ascii="仿宋" w:hAnsi="仿宋" w:eastAsia="仿宋"/>
                <w:color w:val="auto"/>
                <w:kern w:val="0"/>
                <w:sz w:val="20"/>
              </w:rPr>
            </w:pPr>
            <w:r>
              <w:rPr>
                <w:rFonts w:hint="eastAsia" w:ascii="仿宋" w:hAnsi="仿宋" w:eastAsia="仿宋"/>
                <w:color w:val="auto"/>
                <w:kern w:val="0"/>
                <w:sz w:val="20"/>
              </w:rPr>
              <w:t>学习态度端正，目标明确，基础扎实；有科学的思维方法和严谨的治学精神，自觉培养综合素质和创新思维；不迟到、早退、旷课，诚信考试，无考试违规情况</w:t>
            </w:r>
          </w:p>
        </w:tc>
        <w:tc>
          <w:tcPr>
            <w:tcW w:w="0" w:type="auto"/>
          </w:tcPr>
          <w:p w14:paraId="16E42687">
            <w:pPr>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ascii="仿宋" w:hAnsi="仿宋" w:eastAsia="仿宋"/>
                <w:color w:val="auto"/>
                <w:kern w:val="0"/>
                <w:sz w:val="20"/>
              </w:rPr>
            </w:pPr>
            <w:r>
              <w:rPr>
                <w:rFonts w:hint="eastAsia" w:ascii="仿宋" w:hAnsi="仿宋" w:eastAsia="仿宋"/>
                <w:color w:val="auto"/>
                <w:kern w:val="0"/>
                <w:sz w:val="20"/>
              </w:rPr>
              <w:t>增强法制观念，遵守宪法、法律、法规，自觉维护公共秩序，做到令行禁止；具有良好的组织观念和纪律意识，遵守学校各项规章制度，积极发挥示范引领作用</w:t>
            </w:r>
          </w:p>
        </w:tc>
        <w:tc>
          <w:tcPr>
            <w:tcW w:w="0" w:type="auto"/>
            <w:vMerge w:val="continue"/>
            <w:vAlign w:val="center"/>
          </w:tcPr>
          <w:p w14:paraId="49A6B780">
            <w:pPr>
              <w:pageBreakBefore w:val="0"/>
              <w:kinsoku/>
              <w:wordWrap/>
              <w:overflowPunct/>
              <w:topLinePunct w:val="0"/>
              <w:autoSpaceDE/>
              <w:autoSpaceDN/>
              <w:bidi w:val="0"/>
              <w:adjustRightInd/>
              <w:snapToGrid/>
              <w:spacing w:line="360" w:lineRule="auto"/>
              <w:textAlignment w:val="auto"/>
              <w:rPr>
                <w:rFonts w:ascii="仿宋" w:hAnsi="仿宋" w:eastAsia="仿宋"/>
                <w:color w:val="auto"/>
                <w:kern w:val="0"/>
                <w:sz w:val="20"/>
              </w:rPr>
            </w:pPr>
          </w:p>
        </w:tc>
      </w:tr>
    </w:tbl>
    <w:p w14:paraId="7C80B115">
      <w:pPr>
        <w:pageBreakBefore w:val="0"/>
        <w:kinsoku/>
        <w:wordWrap/>
        <w:overflowPunct/>
        <w:topLinePunct w:val="0"/>
        <w:autoSpaceDE/>
        <w:autoSpaceDN/>
        <w:bidi w:val="0"/>
        <w:adjustRightInd/>
        <w:snapToGrid/>
        <w:spacing w:line="360" w:lineRule="auto"/>
        <w:ind w:left="0" w:leftChars="0" w:firstLine="0" w:firstLineChars="0"/>
        <w:textAlignment w:val="auto"/>
        <w:rPr>
          <w:rFonts w:ascii="仿宋_GB2312" w:eastAsia="仿宋_GB2312"/>
          <w:color w:val="auto"/>
          <w:highlight w:val="none"/>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60"/>
      </w:pPr>
      <w:r>
        <w:separator/>
      </w:r>
    </w:p>
  </w:endnote>
  <w:endnote w:type="continuationSeparator" w:id="1">
    <w:p>
      <w:pPr>
        <w:spacing w:line="240" w:lineRule="auto"/>
        <w:ind w:firstLine="4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ind w:firstLine="460"/>
      </w:pPr>
      <w:r>
        <w:separator/>
      </w:r>
    </w:p>
  </w:footnote>
  <w:footnote w:type="continuationSeparator" w:id="1">
    <w:p>
      <w:pPr>
        <w:spacing w:line="300" w:lineRule="auto"/>
        <w:ind w:firstLine="4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iNTUzMjhlMTkxY2I0OWVjYmNhOGFmMDVlMGY4NzgifQ=="/>
  </w:docVars>
  <w:rsids>
    <w:rsidRoot w:val="7B174214"/>
    <w:rsid w:val="06891246"/>
    <w:rsid w:val="125138BA"/>
    <w:rsid w:val="1F7E39D5"/>
    <w:rsid w:val="278B7DE6"/>
    <w:rsid w:val="2EE43864"/>
    <w:rsid w:val="334A7A71"/>
    <w:rsid w:val="335F1782"/>
    <w:rsid w:val="3ACB1702"/>
    <w:rsid w:val="3EA0369C"/>
    <w:rsid w:val="41544C1D"/>
    <w:rsid w:val="62D900F7"/>
    <w:rsid w:val="66314C65"/>
    <w:rsid w:val="69044534"/>
    <w:rsid w:val="6AC41FD2"/>
    <w:rsid w:val="75750A98"/>
    <w:rsid w:val="7B174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ind w:firstLine="200" w:firstLineChars="200"/>
      <w:jc w:val="both"/>
    </w:pPr>
    <w:rPr>
      <w:rFonts w:ascii="Times New Roman" w:hAnsi="Times New Roman" w:eastAsia="宋体" w:cs="Times New Roman"/>
      <w:kern w:val="2"/>
      <w:sz w:val="23"/>
      <w:szCs w:val="24"/>
      <w:lang w:val="en-US" w:eastAsia="zh-CN" w:bidi="ar-SA"/>
    </w:rPr>
  </w:style>
  <w:style w:type="paragraph" w:styleId="2">
    <w:name w:val="heading 1"/>
    <w:basedOn w:val="1"/>
    <w:next w:val="1"/>
    <w:qFormat/>
    <w:uiPriority w:val="0"/>
    <w:pPr>
      <w:keepNext/>
      <w:keepLines/>
      <w:spacing w:line="576" w:lineRule="auto"/>
      <w:ind w:firstLine="0" w:firstLineChars="0"/>
      <w:jc w:val="left"/>
      <w:outlineLvl w:val="0"/>
    </w:pPr>
    <w:rPr>
      <w:b/>
      <w:bCs/>
      <w:kern w:val="44"/>
      <w:sz w:val="2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99"/>
    <w:rPr>
      <w:rFonts w:ascii="Times New Roman" w:hAnsi="Times New Roman" w:eastAsia="宋体" w:cs="Times New Roman"/>
      <w:color w:val="0000FF"/>
      <w:u w:val="single"/>
    </w:rPr>
  </w:style>
  <w:style w:type="paragraph" w:customStyle="1" w:styleId="9">
    <w:name w:val="样式1"/>
    <w:basedOn w:val="1"/>
    <w:qFormat/>
    <w:uiPriority w:val="0"/>
    <w:pPr>
      <w:spacing w:line="240" w:lineRule="auto"/>
      <w:ind w:firstLine="0" w:firstLineChars="0"/>
      <w:jc w:val="center"/>
    </w:pPr>
    <w:rPr>
      <w:rFonts w:hint="eastAsia" w:ascii="仿宋_GB2312" w:hAnsi="仿宋_GB2312" w:eastAsia="仿宋_GB2312"/>
      <w:bCs/>
    </w:rPr>
  </w:style>
  <w:style w:type="paragraph" w:customStyle="1" w:styleId="10">
    <w:name w:val="列表段落1"/>
    <w:basedOn w:val="1"/>
    <w:qFormat/>
    <w:uiPriority w:val="34"/>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2102</Words>
  <Characters>2261</Characters>
  <Lines>0</Lines>
  <Paragraphs>0</Paragraphs>
  <TotalTime>1184</TotalTime>
  <ScaleCrop>false</ScaleCrop>
  <LinksUpToDate>false</LinksUpToDate>
  <CharactersWithSpaces>2262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2024-07-28T09:13:00Z</dcterms:created>
  <dc:creator>曹可滢</dc:creator>
  <cp:lastModifiedBy>老陈</cp:lastModifiedBy>
  <dcterms:modified xsi:type="dcterms:W3CDTF">2026-09-11T04:27:13Z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104DB72CFC2348128F585B4CCF285C9D_13</vt:lpwstr>
  </property>
  <property fmtid="{D5CDD505-2E9C-101B-9397-08002B2CF9AE}" pid="4" name="KSOTemplateDocerSaveRecord">
    <vt:lpwstr>eyJoZGlkIjoiNWE4N2VhMmJmNzE1NjEwZmMzODcyM2M5Yjc1MmE3ODYiLCJ1c2VySWQiOiIxMTMzMjgzOTcwIn0=</vt:lpwstr>
  </property>
</Properties>
</file>