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Times New Roman"/>
          <w:b/>
          <w:bCs/>
          <w:sz w:val="28"/>
          <w:szCs w:val="28"/>
        </w:rPr>
      </w:pPr>
      <w:r>
        <w:rPr>
          <w:rFonts w:hint="eastAsia" w:ascii="宋体" w:hAnsi="宋体" w:cs="Times New Roman"/>
          <w:b/>
          <w:bCs/>
          <w:sz w:val="28"/>
          <w:szCs w:val="28"/>
        </w:rPr>
        <w:t>附</w:t>
      </w:r>
      <w:r>
        <w:rPr>
          <w:rFonts w:hint="eastAsia" w:ascii="宋体" w:hAnsi="宋体" w:cs="Times New Roman"/>
          <w:b/>
          <w:bCs/>
          <w:sz w:val="28"/>
          <w:szCs w:val="28"/>
          <w:lang w:val="en-US" w:eastAsia="zh-CN"/>
        </w:rPr>
        <w:t>件2</w:t>
      </w:r>
      <w:r>
        <w:rPr>
          <w:rFonts w:hint="eastAsia" w:ascii="宋体" w:hAnsi="宋体" w:cs="Times New Roman"/>
          <w:b/>
          <w:bCs/>
          <w:sz w:val="28"/>
          <w:szCs w:val="28"/>
        </w:rPr>
        <w:t>：</w:t>
      </w:r>
    </w:p>
    <w:p>
      <w:pPr>
        <w:spacing w:line="540" w:lineRule="exact"/>
        <w:jc w:val="center"/>
        <w:rPr>
          <w:rFonts w:ascii="仿宋" w:hAnsi="仿宋" w:eastAsia="仿宋"/>
          <w:b/>
          <w:sz w:val="36"/>
          <w:szCs w:val="36"/>
        </w:rPr>
      </w:pPr>
    </w:p>
    <w:p>
      <w:pPr>
        <w:spacing w:line="540" w:lineRule="exact"/>
        <w:jc w:val="center"/>
        <w:rPr>
          <w:rFonts w:hint="eastAsia" w:ascii="黑体" w:hAnsi="黑体" w:eastAsia="黑体"/>
          <w:b/>
          <w:sz w:val="32"/>
          <w:szCs w:val="32"/>
        </w:rPr>
      </w:pPr>
      <w:r>
        <w:rPr>
          <w:rFonts w:hint="eastAsia" w:ascii="黑体" w:hAnsi="黑体" w:eastAsia="黑体"/>
          <w:b/>
          <w:sz w:val="32"/>
          <w:szCs w:val="32"/>
        </w:rPr>
        <w:t>中国石油大学（北京）校、院学生会组织</w:t>
      </w:r>
    </w:p>
    <w:p>
      <w:pPr>
        <w:spacing w:line="540" w:lineRule="exact"/>
        <w:jc w:val="center"/>
        <w:rPr>
          <w:rFonts w:hint="eastAsia" w:ascii="黑体" w:hAnsi="黑体" w:eastAsia="黑体"/>
          <w:b/>
          <w:sz w:val="32"/>
          <w:szCs w:val="32"/>
        </w:rPr>
      </w:pPr>
      <w:r>
        <w:rPr>
          <w:rFonts w:hint="eastAsia" w:ascii="黑体" w:hAnsi="黑体" w:eastAsia="黑体"/>
          <w:b/>
          <w:sz w:val="32"/>
          <w:szCs w:val="32"/>
          <w:lang w:val="en-US" w:eastAsia="zh-CN"/>
        </w:rPr>
        <w:t>工作指导意见</w:t>
      </w:r>
      <w:r>
        <w:rPr>
          <w:rFonts w:hint="eastAsia" w:ascii="黑体" w:hAnsi="黑体" w:eastAsia="黑体"/>
          <w:b/>
          <w:sz w:val="32"/>
          <w:szCs w:val="32"/>
        </w:rPr>
        <w:t>（试行）</w:t>
      </w:r>
    </w:p>
    <w:p>
      <w:pPr>
        <w:spacing w:line="540" w:lineRule="exact"/>
        <w:jc w:val="center"/>
        <w:rPr>
          <w:rFonts w:hint="default" w:ascii="黑体" w:hAnsi="黑体" w:eastAsia="黑体"/>
          <w:b/>
          <w:sz w:val="32"/>
          <w:szCs w:val="32"/>
          <w:lang w:val="en-US" w:eastAsia="zh-CN"/>
        </w:rPr>
      </w:pPr>
    </w:p>
    <w:p>
      <w:pPr>
        <w:pStyle w:val="4"/>
        <w:keepNext w:val="0"/>
        <w:keepLines w:val="0"/>
        <w:pageBreakBefore w:val="0"/>
        <w:widowControl/>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注重思想引领，树立模范榜样</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firstLine="480" w:firstLineChars="200"/>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以习近平新时代中国特色社会主义思想为指导，以加强对同学的政治引领为根本，以全心全意为同学们服务为宗旨，及时向同学传达党的声音和主张，引导广大同学自觉把个人理想融入到党和人民的共同奋斗之中，搭建好党联系广大同学的桥梁和纽带，保持和增强组织的政治性、先进性、群众性</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在重要时间节点开展</w:t>
      </w:r>
      <w:r>
        <w:rPr>
          <w:rFonts w:hint="eastAsia" w:ascii="仿宋" w:hAnsi="仿宋" w:eastAsia="仿宋" w:cs="仿宋"/>
          <w:color w:val="000000"/>
          <w:kern w:val="0"/>
          <w:sz w:val="24"/>
          <w:szCs w:val="24"/>
          <w:lang w:val="en-US" w:eastAsia="zh-CN"/>
        </w:rPr>
        <w:t>主题思想引领</w:t>
      </w:r>
      <w:r>
        <w:rPr>
          <w:rFonts w:hint="eastAsia" w:ascii="仿宋" w:hAnsi="仿宋" w:eastAsia="仿宋" w:cs="仿宋"/>
          <w:color w:val="000000"/>
          <w:kern w:val="0"/>
          <w:sz w:val="24"/>
          <w:szCs w:val="24"/>
        </w:rPr>
        <w:t>活动</w:t>
      </w:r>
      <w:r>
        <w:rPr>
          <w:rFonts w:hint="eastAsia" w:ascii="仿宋" w:hAnsi="仿宋" w:eastAsia="仿宋" w:cs="仿宋"/>
          <w:color w:val="000000"/>
          <w:kern w:val="0"/>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firstLine="480" w:firstLineChars="200"/>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具有全心全意为广大同学服务的觉悟和</w:t>
      </w:r>
      <w:r>
        <w:rPr>
          <w:rFonts w:hint="eastAsia" w:ascii="仿宋" w:hAnsi="仿宋" w:eastAsia="仿宋" w:cs="仿宋"/>
          <w:color w:val="000000"/>
          <w:kern w:val="0"/>
          <w:sz w:val="24"/>
          <w:szCs w:val="24"/>
          <w:lang w:val="en-US" w:eastAsia="zh-CN"/>
        </w:rPr>
        <w:t>实际行动</w:t>
      </w:r>
      <w:r>
        <w:rPr>
          <w:rFonts w:hint="eastAsia" w:ascii="仿宋" w:hAnsi="仿宋" w:eastAsia="仿宋" w:cs="仿宋"/>
          <w:color w:val="000000"/>
          <w:kern w:val="0"/>
          <w:sz w:val="24"/>
          <w:szCs w:val="24"/>
          <w:lang w:eastAsia="zh-CN"/>
        </w:rPr>
        <w:t>，坚持从学生中来、到学生中去，将“以学生为中心”的工作理念落细落小落实，听取、收集同学在学业发展、身心健康、社会融入、权益维护等方面的普遍需求和现实困难，及时反馈学校，帮助有效解决，</w:t>
      </w:r>
      <w:r>
        <w:rPr>
          <w:rFonts w:hint="eastAsia" w:ascii="仿宋" w:hAnsi="仿宋" w:eastAsia="仿宋" w:cs="仿宋"/>
          <w:color w:val="000000"/>
          <w:kern w:val="0"/>
          <w:sz w:val="24"/>
          <w:szCs w:val="24"/>
          <w:lang w:val="en-US" w:eastAsia="zh-CN"/>
        </w:rPr>
        <w:t>树立乐于助人的模范榜样典型。</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firstLine="480" w:firstLineChars="200"/>
        <w:textAlignment w:val="auto"/>
        <w:rPr>
          <w:rFonts w:hint="eastAsia" w:ascii="仿宋" w:hAnsi="仿宋" w:eastAsia="仿宋" w:cs="仿宋"/>
          <w:color w:val="000000"/>
          <w:kern w:val="0"/>
          <w:sz w:val="24"/>
          <w:szCs w:val="24"/>
          <w:lang w:eastAsia="zh-CN"/>
        </w:rPr>
      </w:pPr>
      <w:r>
        <w:rPr>
          <w:rFonts w:hint="eastAsia" w:ascii="仿宋" w:hAnsi="仿宋" w:eastAsia="仿宋" w:cs="仿宋"/>
          <w:sz w:val="24"/>
          <w:szCs w:val="28"/>
          <w:lang w:val="en-US" w:eastAsia="zh-CN"/>
        </w:rPr>
        <w:t>全体成员</w:t>
      </w:r>
      <w:r>
        <w:rPr>
          <w:rFonts w:hint="eastAsia" w:ascii="仿宋" w:hAnsi="仿宋" w:eastAsia="仿宋" w:cs="仿宋"/>
          <w:sz w:val="24"/>
          <w:szCs w:val="28"/>
        </w:rPr>
        <w:t>志存高远，勤奋学习，</w:t>
      </w:r>
      <w:r>
        <w:rPr>
          <w:rFonts w:hint="eastAsia" w:ascii="仿宋" w:hAnsi="仿宋" w:eastAsia="仿宋" w:cs="仿宋"/>
          <w:sz w:val="24"/>
          <w:szCs w:val="28"/>
          <w:lang w:val="en-US" w:eastAsia="zh-CN"/>
        </w:rPr>
        <w:t>多方位、全方面发展，在全校范围内树立品学兼优、能力出众的模范标兵典型</w:t>
      </w:r>
      <w:r>
        <w:rPr>
          <w:rFonts w:hint="eastAsia" w:ascii="仿宋" w:hAnsi="仿宋" w:eastAsia="仿宋" w:cs="仿宋"/>
          <w:sz w:val="24"/>
          <w:szCs w:val="28"/>
        </w:rPr>
        <w:t>。</w:t>
      </w:r>
    </w:p>
    <w:p>
      <w:pPr>
        <w:pStyle w:val="4"/>
        <w:keepNext w:val="0"/>
        <w:keepLines w:val="0"/>
        <w:pageBreakBefore w:val="0"/>
        <w:widowControl/>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000000"/>
          <w:kern w:val="0"/>
          <w:sz w:val="24"/>
          <w:szCs w:val="24"/>
          <w:lang w:eastAsia="zh-CN"/>
        </w:rPr>
      </w:pPr>
      <w:r>
        <w:rPr>
          <w:rFonts w:hint="eastAsia" w:ascii="仿宋" w:hAnsi="仿宋" w:eastAsia="仿宋" w:cs="仿宋"/>
          <w:b/>
          <w:bCs/>
          <w:kern w:val="0"/>
          <w:sz w:val="24"/>
          <w:szCs w:val="24"/>
          <w:lang w:val="en-US" w:eastAsia="zh-CN"/>
        </w:rPr>
        <w:t>落实改革要求，完善组织架构</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落实</w:t>
      </w:r>
      <w:r>
        <w:rPr>
          <w:rFonts w:hint="eastAsia" w:ascii="仿宋" w:hAnsi="仿宋" w:eastAsia="仿宋" w:cs="仿宋"/>
          <w:color w:val="000000"/>
          <w:kern w:val="0"/>
          <w:sz w:val="24"/>
          <w:szCs w:val="24"/>
        </w:rPr>
        <w:t>《学联学生会组织改革方案》要求</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明确组织职能定位，优化精简机构人员，严格遴选程序，依章程开展工作</w:t>
      </w:r>
      <w:r>
        <w:rPr>
          <w:rFonts w:hint="eastAsia" w:ascii="仿宋" w:hAnsi="仿宋" w:eastAsia="仿宋" w:cs="仿宋"/>
          <w:color w:val="000000"/>
          <w:kern w:val="0"/>
          <w:sz w:val="24"/>
          <w:szCs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rPr>
        <w:t>积极响应改革号召，不断改革运行机制，改进工作方式，创新工作内容，塑造清新组织文化，构建学生会组织有效覆盖全体同学的组织网络，</w:t>
      </w:r>
      <w:r>
        <w:rPr>
          <w:rFonts w:hint="eastAsia" w:ascii="仿宋" w:hAnsi="仿宋" w:eastAsia="仿宋" w:cs="仿宋"/>
          <w:color w:val="000000"/>
          <w:kern w:val="0"/>
          <w:sz w:val="24"/>
          <w:szCs w:val="24"/>
          <w:highlight w:val="none"/>
        </w:rPr>
        <w:t>明确未来改革方向和重点。</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院级学生会组织属于校级学生会组织的基层组织，每年初在校级学生会组织指导下汇报年度工作计划；校级学生会组织须对我校学生会组织整体工作统筹规划，充分发挥各院系学生会组织特长及贴近广大同学的优势，做好我校学生会组织相关工作。</w:t>
      </w:r>
    </w:p>
    <w:p>
      <w:pPr>
        <w:pStyle w:val="4"/>
        <w:keepNext w:val="0"/>
        <w:keepLines w:val="0"/>
        <w:pageBreakBefore w:val="0"/>
        <w:widowControl/>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构建开放</w:t>
      </w:r>
      <w:r>
        <w:rPr>
          <w:rFonts w:hint="eastAsia" w:ascii="仿宋" w:hAnsi="仿宋" w:eastAsia="仿宋" w:cs="仿宋"/>
          <w:b/>
          <w:bCs/>
          <w:color w:val="000000"/>
          <w:kern w:val="0"/>
          <w:sz w:val="24"/>
          <w:szCs w:val="24"/>
          <w:highlight w:val="none"/>
          <w:lang w:val="en-US" w:eastAsia="zh-CN"/>
        </w:rPr>
        <w:t>平台，扩大组织影响</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200" w:firstLine="480" w:firstLineChars="200"/>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校院两级学生会组织高效联动，定期开展工作交流会，搭建开放式合作平台，共同筹办特色品牌活动，做到资源共享、品牌共建</w:t>
      </w:r>
      <w:r>
        <w:rPr>
          <w:rFonts w:hint="eastAsia" w:ascii="仿宋" w:hAnsi="仿宋" w:eastAsia="仿宋" w:cs="仿宋"/>
          <w:color w:val="000000"/>
          <w:kern w:val="0"/>
          <w:sz w:val="24"/>
          <w:szCs w:val="24"/>
          <w:highlight w:val="none"/>
          <w:lang w:val="en-US" w:eastAsia="zh-CN"/>
        </w:rPr>
        <w:t>，原则上每学年各院级学生会组织须和校级学生会组织共建一个特色品牌活动。</w:t>
      </w:r>
      <w:r>
        <w:rPr>
          <w:rFonts w:hint="eastAsia" w:ascii="仿宋" w:hAnsi="仿宋" w:eastAsia="仿宋" w:cs="仿宋"/>
          <w:color w:val="000000"/>
          <w:kern w:val="0"/>
          <w:sz w:val="24"/>
          <w:szCs w:val="24"/>
          <w:lang w:val="en-US" w:eastAsia="zh-CN"/>
        </w:rPr>
        <w:t>学生代表大会、研究生代表大会等重要会议或活动由校级学生会组织统筹负责，各院级学生会组织须积极配合、共同开展。</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200" w:firstLine="480" w:firstLineChars="200"/>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定期开展高水平、高质量、高站位活动，能够</w:t>
      </w:r>
      <w:r>
        <w:rPr>
          <w:rFonts w:hint="eastAsia" w:ascii="仿宋" w:hAnsi="仿宋" w:eastAsia="仿宋" w:cs="仿宋"/>
          <w:color w:val="000000"/>
          <w:kern w:val="0"/>
          <w:sz w:val="24"/>
          <w:szCs w:val="24"/>
        </w:rPr>
        <w:t>在全校（院）师生内部产生</w:t>
      </w:r>
      <w:r>
        <w:rPr>
          <w:rFonts w:hint="eastAsia" w:ascii="仿宋" w:hAnsi="仿宋" w:eastAsia="仿宋" w:cs="仿宋"/>
          <w:color w:val="000000"/>
          <w:kern w:val="0"/>
          <w:sz w:val="24"/>
          <w:szCs w:val="24"/>
          <w:lang w:val="en-US" w:eastAsia="zh-CN"/>
        </w:rPr>
        <w:t>积极影响与热烈反响</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学生会组织工作要做到</w:t>
      </w:r>
      <w:r>
        <w:rPr>
          <w:rFonts w:hint="eastAsia" w:ascii="仿宋" w:hAnsi="仿宋" w:eastAsia="仿宋" w:cs="仿宋"/>
          <w:color w:val="000000"/>
          <w:kern w:val="0"/>
          <w:sz w:val="24"/>
          <w:szCs w:val="24"/>
        </w:rPr>
        <w:t>创新性强、感染力足、宣传力广，整体效果及后期反馈情况良好。</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9394BA"/>
    <w:multiLevelType w:val="singleLevel"/>
    <w:tmpl w:val="FF9394BA"/>
    <w:lvl w:ilvl="0" w:tentative="0">
      <w:start w:val="1"/>
      <w:numFmt w:val="decimal"/>
      <w:lvlText w:val="%1."/>
      <w:lvlJc w:val="left"/>
      <w:pPr>
        <w:tabs>
          <w:tab w:val="left" w:pos="312"/>
        </w:tabs>
      </w:pPr>
    </w:lvl>
  </w:abstractNum>
  <w:abstractNum w:abstractNumId="1">
    <w:nsid w:val="230B3323"/>
    <w:multiLevelType w:val="singleLevel"/>
    <w:tmpl w:val="230B3323"/>
    <w:lvl w:ilvl="0" w:tentative="0">
      <w:start w:val="1"/>
      <w:numFmt w:val="decimal"/>
      <w:lvlText w:val="%1."/>
      <w:lvlJc w:val="left"/>
      <w:pPr>
        <w:tabs>
          <w:tab w:val="left" w:pos="312"/>
        </w:tabs>
      </w:pPr>
    </w:lvl>
  </w:abstractNum>
  <w:abstractNum w:abstractNumId="2">
    <w:nsid w:val="5A553D85"/>
    <w:multiLevelType w:val="multilevel"/>
    <w:tmpl w:val="5A553D85"/>
    <w:lvl w:ilvl="0" w:tentative="0">
      <w:start w:val="1"/>
      <w:numFmt w:val="chineseCountingThousand"/>
      <w:suff w:val="nothing"/>
      <w:lvlText w:val="%1、"/>
      <w:lvlJc w:val="left"/>
      <w:pPr>
        <w:ind w:left="0" w:firstLine="420"/>
      </w:pPr>
      <w:rPr>
        <w:rFonts w:hint="eastAsia"/>
        <w:b/>
        <w:bC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1B432E1"/>
    <w:multiLevelType w:val="singleLevel"/>
    <w:tmpl w:val="61B432E1"/>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BB330C"/>
    <w:rsid w:val="0444047A"/>
    <w:rsid w:val="072F1206"/>
    <w:rsid w:val="09AD53A0"/>
    <w:rsid w:val="10E67231"/>
    <w:rsid w:val="11B50BB5"/>
    <w:rsid w:val="12533958"/>
    <w:rsid w:val="13742F5A"/>
    <w:rsid w:val="23E56663"/>
    <w:rsid w:val="2ACF5555"/>
    <w:rsid w:val="3BDD44EF"/>
    <w:rsid w:val="3C2C167B"/>
    <w:rsid w:val="412626D2"/>
    <w:rsid w:val="41C23A13"/>
    <w:rsid w:val="4FAA1E09"/>
    <w:rsid w:val="54012E3C"/>
    <w:rsid w:val="55187889"/>
    <w:rsid w:val="5F4601C1"/>
    <w:rsid w:val="650300AB"/>
    <w:rsid w:val="70BB330C"/>
    <w:rsid w:val="738B1E8D"/>
    <w:rsid w:val="7CE57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87</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2020-12-21T09:08:00Z</dcterms:created>
  <dc:creator>TUANWEI</dc:creator>
  <cp:lastModifiedBy>TUANWEI</cp:lastModifiedBy>
  <dcterms:modified xsi:type="dcterms:W3CDTF">2020-12-29T06:55:20Z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