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05B92" w:rsidRDefault="00E2656B">
      <w:pPr>
        <w:pStyle w:val="a3"/>
        <w:spacing w:after="240"/>
        <w:ind w:left="0"/>
        <w:rPr>
          <w:rFonts w:ascii="宋体" w:eastAsia="宋体" w:hAnsi="宋体" w:cs="宋体" w:hint="default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  <w:lang w:val="zh-TW" w:eastAsia="zh-TW"/>
        </w:rPr>
        <w:t>附件</w:t>
      </w:r>
      <w:r>
        <w:rPr>
          <w:rFonts w:ascii="宋体" w:eastAsia="宋体" w:hAnsi="宋体" w:cs="宋体"/>
          <w:sz w:val="28"/>
          <w:szCs w:val="28"/>
        </w:rPr>
        <w:t>4</w:t>
      </w:r>
    </w:p>
    <w:p w:rsidR="00005B92" w:rsidRDefault="00E2656B">
      <w:pPr>
        <w:spacing w:line="300" w:lineRule="auto"/>
        <w:rPr>
          <w:rFonts w:asciiTheme="minorEastAsia" w:eastAsiaTheme="minorEastAsia" w:hAnsiTheme="minorEastAsia" w:cs="黑体" w:hint="default"/>
          <w:b/>
          <w:bCs/>
          <w:lang w:val="zh-TW" w:eastAsia="zh-TW"/>
        </w:rPr>
      </w:pPr>
      <w:r>
        <w:rPr>
          <w:rFonts w:asciiTheme="minorEastAsia" w:eastAsiaTheme="minorEastAsia" w:hAnsiTheme="minorEastAsia" w:cs="黑体"/>
          <w:b/>
          <w:bCs/>
          <w:lang w:eastAsia="zh-TW"/>
        </w:rPr>
        <w:t>本届赛题：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25"/>
        <w:gridCol w:w="7049"/>
      </w:tblGrid>
      <w:tr w:rsidR="00005B92">
        <w:tc>
          <w:tcPr>
            <w:tcW w:w="1352" w:type="dxa"/>
          </w:tcPr>
          <w:p w:rsidR="00005B92" w:rsidRDefault="00E2656B">
            <w:pPr>
              <w:pStyle w:val="4"/>
              <w:rPr>
                <w:rFonts w:asciiTheme="minorEastAsia" w:eastAsiaTheme="minorEastAsia" w:hAnsiTheme="minorEastAsia" w:cs="黑体" w:hint="default"/>
                <w:bCs/>
                <w:lang w:val="zh-TW" w:eastAsia="zh-TW"/>
              </w:rPr>
            </w:pPr>
            <w:r>
              <w:rPr>
                <w:lang w:val="zh-TW" w:eastAsia="zh-TW"/>
              </w:rPr>
              <w:t>赛题一</w:t>
            </w:r>
          </w:p>
        </w:tc>
        <w:tc>
          <w:tcPr>
            <w:tcW w:w="7248" w:type="dxa"/>
          </w:tcPr>
          <w:p w:rsidR="00005B92" w:rsidRDefault="00E2656B">
            <w:pPr>
              <w:pStyle w:val="4"/>
              <w:rPr>
                <w:rFonts w:asciiTheme="minorEastAsia" w:eastAsiaTheme="minorEastAsia" w:hAnsiTheme="minorEastAsia" w:cs="黑体" w:hint="default"/>
                <w:bCs/>
                <w:lang w:val="zh-TW" w:eastAsia="zh-TW"/>
              </w:rPr>
            </w:pPr>
            <w:r>
              <w:rPr>
                <w:rFonts w:ascii="宋体" w:eastAsia="宋体" w:hAnsi="宋体" w:cs="宋体"/>
                <w:bCs/>
                <w:sz w:val="32"/>
                <w:lang w:eastAsia="zh-TW" w:bidi="ar"/>
              </w:rPr>
              <w:t>基于智能手机的苹果糖度无损测量</w:t>
            </w:r>
          </w:p>
        </w:tc>
      </w:tr>
      <w:tr w:rsidR="00005B92">
        <w:tc>
          <w:tcPr>
            <w:tcW w:w="1352" w:type="dxa"/>
          </w:tcPr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Style w:val="40"/>
                <w:lang w:eastAsia="zh-TW"/>
              </w:rPr>
              <w:t>赛题细则</w:t>
            </w:r>
          </w:p>
        </w:tc>
        <w:tc>
          <w:tcPr>
            <w:tcW w:w="7248" w:type="dxa"/>
          </w:tcPr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竞赛说明：利用智能手机已有的成像、数据处理和显示功能，通过增加最少附件，实现对苹果样品糖度的无损测量。按测量的精度确定比赛胜负。</w:t>
            </w:r>
          </w:p>
        </w:tc>
      </w:tr>
      <w:tr w:rsidR="00005B92">
        <w:tc>
          <w:tcPr>
            <w:tcW w:w="1352" w:type="dxa"/>
          </w:tcPr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E2656B">
            <w:pPr>
              <w:spacing w:line="300" w:lineRule="auto"/>
              <w:rPr>
                <w:rFonts w:asciiTheme="minorEastAsia" w:eastAsia="PMingLiU" w:hAnsiTheme="minorEastAsia" w:cs="黑体" w:hint="default"/>
                <w:lang w:eastAsia="zh-TW"/>
              </w:rPr>
            </w:pPr>
            <w:r>
              <w:rPr>
                <w:rStyle w:val="40"/>
                <w:lang w:eastAsia="zh-TW"/>
              </w:rPr>
              <w:t>竞赛规则</w:t>
            </w:r>
          </w:p>
        </w:tc>
        <w:tc>
          <w:tcPr>
            <w:tcW w:w="7248" w:type="dxa"/>
          </w:tcPr>
          <w:p w:rsidR="00005B92" w:rsidRDefault="00E2656B">
            <w:pPr>
              <w:pStyle w:val="aa"/>
              <w:spacing w:line="300" w:lineRule="auto"/>
              <w:ind w:firstLineChars="0" w:firstLine="0"/>
              <w:rPr>
                <w:rFonts w:asciiTheme="minorEastAsia" w:eastAsia="PMingLiU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</w:rPr>
              <w:t>1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、按抽签分组，两队同场竞技，采用淘汰赛制。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</w:t>
            </w:r>
          </w:p>
          <w:p w:rsidR="00005B92" w:rsidRDefault="00E2656B">
            <w:pPr>
              <w:pStyle w:val="aa"/>
              <w:spacing w:line="300" w:lineRule="auto"/>
              <w:ind w:firstLineChars="0" w:firstLine="0"/>
              <w:rPr>
                <w:rFonts w:asciiTheme="minorEastAsia" w:eastAsiaTheme="minorEastAsia" w:hAnsiTheme="minorEastAsia" w:cs="黑体" w:hint="default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</w:rPr>
              <w:t>2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、利用国产手机的成像功能，通过添加最少量自己设计并构建的附件，实现苹果糖度的无损测量。</w:t>
            </w:r>
            <w:r>
              <w:rPr>
                <w:rFonts w:asciiTheme="minorEastAsia" w:eastAsiaTheme="minorEastAsia" w:hAnsiTheme="minorEastAsia" w:cs="黑体"/>
                <w:b/>
                <w:bCs/>
              </w:rPr>
              <w:t>（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详细要求如下：（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1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）不能直接使用商用核心模块；（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2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）提供添加附件的设计构建说明书；（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3</w:t>
            </w:r>
            <w:r>
              <w:rPr>
                <w:rFonts w:asciiTheme="minorEastAsia" w:eastAsiaTheme="minorEastAsia" w:hAnsiTheme="minorEastAsia" w:cs="黑体"/>
                <w:lang w:eastAsia="zh-TW"/>
              </w:rPr>
              <w:t>）体积不可超过限定值，具体由竞赛组委会规定</w:t>
            </w:r>
            <w:r>
              <w:rPr>
                <w:rFonts w:asciiTheme="minorEastAsia" w:eastAsiaTheme="minorEastAsia" w:hAnsiTheme="minorEastAsia" w:cs="黑体"/>
              </w:rPr>
              <w:t>。）</w:t>
            </w:r>
          </w:p>
          <w:p w:rsidR="00005B92" w:rsidRDefault="00E2656B">
            <w:pPr>
              <w:pStyle w:val="aa"/>
              <w:numPr>
                <w:ilvl w:val="0"/>
                <w:numId w:val="1"/>
              </w:numPr>
              <w:spacing w:line="300" w:lineRule="auto"/>
              <w:ind w:firstLineChars="0" w:firstLine="0"/>
              <w:rPr>
                <w:rFonts w:asciiTheme="minorEastAsia" w:eastAsiaTheme="minorEastAsia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测量数据的处理、显示工作需全部由手机完成。</w:t>
            </w:r>
          </w:p>
          <w:p w:rsidR="00005B92" w:rsidRDefault="00E2656B">
            <w:pPr>
              <w:pStyle w:val="aa"/>
              <w:spacing w:line="300" w:lineRule="auto"/>
              <w:ind w:firstLineChars="0" w:firstLine="0"/>
              <w:rPr>
                <w:rFonts w:asciiTheme="minorEastAsia" w:eastAsia="PMingLiU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4.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被测苹果样品不少于三个种类，具体由竞赛组委会安排。竞赛用苹果样品应在规定的种类中现场随机分配。</w:t>
            </w:r>
          </w:p>
          <w:p w:rsidR="00005B92" w:rsidRDefault="00E2656B">
            <w:pPr>
              <w:pStyle w:val="aa"/>
              <w:spacing w:line="300" w:lineRule="auto"/>
              <w:ind w:firstLineChars="0" w:firstLine="0"/>
              <w:rPr>
                <w:rFonts w:asciiTheme="minorEastAsia" w:eastAsiaTheme="minorEastAsia" w:hAnsiTheme="minorEastAsia" w:cs="黑体" w:hint="default"/>
                <w:b/>
                <w:bCs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5.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苹果糖度的标准值由业界通用方法确定，具体由竞赛组委会安排。</w:t>
            </w:r>
          </w:p>
        </w:tc>
      </w:tr>
    </w:tbl>
    <w:p w:rsidR="00005B92" w:rsidRDefault="00005B92">
      <w:pPr>
        <w:spacing w:line="300" w:lineRule="auto"/>
        <w:rPr>
          <w:rFonts w:asciiTheme="minorEastAsia" w:eastAsiaTheme="minorEastAsia" w:hAnsiTheme="minorEastAsia" w:cs="黑体" w:hint="default"/>
          <w:b/>
          <w:bCs/>
          <w:lang w:val="zh-TW"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34"/>
        <w:gridCol w:w="7040"/>
      </w:tblGrid>
      <w:tr w:rsidR="00005B92">
        <w:tc>
          <w:tcPr>
            <w:tcW w:w="1362" w:type="dxa"/>
          </w:tcPr>
          <w:p w:rsidR="00005B92" w:rsidRDefault="00005B92">
            <w:pPr>
              <w:spacing w:line="300" w:lineRule="auto"/>
              <w:rPr>
                <w:rStyle w:val="40"/>
                <w:rFonts w:cs="Times New Roman" w:hint="default"/>
              </w:rPr>
            </w:pP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</w:rPr>
            </w:pPr>
            <w:r>
              <w:rPr>
                <w:rStyle w:val="40"/>
                <w:rFonts w:cs="Times New Roman"/>
              </w:rPr>
              <w:t>赛题二</w:t>
            </w:r>
          </w:p>
        </w:tc>
        <w:tc>
          <w:tcPr>
            <w:tcW w:w="7238" w:type="dxa"/>
          </w:tcPr>
          <w:p w:rsidR="00005B92" w:rsidRDefault="00005B92">
            <w:pPr>
              <w:rPr>
                <w:rFonts w:ascii="宋体" w:eastAsia="宋体" w:hAnsi="宋体" w:cs="宋体" w:hint="default"/>
                <w:b/>
                <w:bCs/>
                <w:lang w:bidi="ar"/>
              </w:rPr>
            </w:pPr>
          </w:p>
          <w:p w:rsidR="00005B92" w:rsidRDefault="00E2656B">
            <w:pPr>
              <w:rPr>
                <w:rFonts w:ascii="宋体" w:eastAsia="宋体" w:hAnsi="宋体" w:cs="宋体" w:hint="default"/>
                <w:b/>
                <w:bCs/>
                <w:lang w:bidi="ar"/>
              </w:rPr>
            </w:pPr>
            <w:r>
              <w:rPr>
                <w:rFonts w:ascii="宋体" w:eastAsia="宋体" w:hAnsi="宋体" w:cs="宋体"/>
                <w:b/>
                <w:bCs/>
                <w:lang w:bidi="ar"/>
              </w:rPr>
              <w:t>光电智能垃圾分拣车</w:t>
            </w:r>
          </w:p>
          <w:p w:rsidR="00005B92" w:rsidRDefault="00005B92">
            <w:pPr>
              <w:rPr>
                <w:rFonts w:ascii="宋体" w:eastAsia="宋体" w:hAnsi="宋体" w:cs="宋体" w:hint="default"/>
                <w:b/>
                <w:bCs/>
                <w:lang w:val="zh-TW" w:eastAsia="zh-TW" w:bidi="ar"/>
              </w:rPr>
            </w:pPr>
          </w:p>
        </w:tc>
      </w:tr>
      <w:tr w:rsidR="00005B92">
        <w:tc>
          <w:tcPr>
            <w:tcW w:w="1362" w:type="dxa"/>
          </w:tcPr>
          <w:p w:rsidR="00005B92" w:rsidRDefault="00005B92">
            <w:pPr>
              <w:spacing w:line="300" w:lineRule="auto"/>
              <w:rPr>
                <w:rStyle w:val="40"/>
                <w:rFonts w:hint="default"/>
                <w:lang w:val="zh-TW"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val="zh-TW" w:eastAsia="zh-TW"/>
              </w:rPr>
            </w:pP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Style w:val="40"/>
                <w:lang w:val="zh-TW" w:eastAsia="zh-TW"/>
              </w:rPr>
              <w:t>赛题细则</w:t>
            </w:r>
          </w:p>
        </w:tc>
        <w:tc>
          <w:tcPr>
            <w:tcW w:w="7238" w:type="dxa"/>
          </w:tcPr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竞赛说明：设计一款光电智能垃圾分拣车，能够从指定位置出发，在指定区域内快速搜寻指定垃圾，对垃圾识别并分类拣送到指定的堆放地。按规定时间内准确分拣的垃圾数量确定比赛胜负。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</w:t>
            </w:r>
          </w:p>
        </w:tc>
      </w:tr>
      <w:tr w:rsidR="00005B92">
        <w:tc>
          <w:tcPr>
            <w:tcW w:w="1362" w:type="dxa"/>
          </w:tcPr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005B92">
            <w:pPr>
              <w:spacing w:line="300" w:lineRule="auto"/>
              <w:rPr>
                <w:rStyle w:val="40"/>
                <w:rFonts w:hint="default"/>
                <w:lang w:eastAsia="zh-TW"/>
              </w:rPr>
            </w:pP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Style w:val="40"/>
                <w:lang w:eastAsia="zh-TW"/>
              </w:rPr>
              <w:t>竞赛规则</w:t>
            </w:r>
          </w:p>
        </w:tc>
        <w:tc>
          <w:tcPr>
            <w:tcW w:w="7238" w:type="dxa"/>
          </w:tcPr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1.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按抽签分组，两队同场竞技，采用淘汰赛制。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</w:t>
            </w: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2.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竞赛分类要求：</w:t>
            </w:r>
          </w:p>
          <w:p w:rsidR="00005B92" w:rsidRDefault="00E2656B">
            <w:pPr>
              <w:spacing w:line="300" w:lineRule="auto"/>
              <w:rPr>
                <w:rFonts w:asciiTheme="minorEastAsia" w:eastAsia="PMingLiU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1)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传感器：分拣车必须使用自带的光电传感器进行导航和搜寻、识别垃圾，光电传感器的数量及安装方式不限。严禁使用远程遥控或其他非光电技术方式进行导航、搜寻和识别。</w:t>
            </w: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2)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场地：竞赛使用的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1/2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标准羽毛球场如图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2-1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所示。蓝色线框为分拣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车出发区，红色框为垃圾分类堆放区</w:t>
            </w:r>
            <w:r>
              <w:rPr>
                <w:rFonts w:asciiTheme="minorEastAsia" w:eastAsiaTheme="minorEastAsia" w:hAnsiTheme="minorEastAsia" w:cs="黑体"/>
                <w:b/>
                <w:bCs/>
              </w:rPr>
              <w:t>。</w:t>
            </w: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</w:rPr>
            </w:pPr>
            <w:r>
              <w:rPr>
                <w:rFonts w:asciiTheme="minorEastAsia" w:eastAsiaTheme="minorEastAsia" w:hAnsiTheme="minorEastAsia" w:cs="黑体" w:hint="default"/>
                <w:b/>
                <w:bCs/>
                <w:lang w:eastAsia="zh-TW"/>
              </w:rPr>
              <w:t>(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3)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垃圾种类：竞赛用垃圾共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5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种，包括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330ml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矿泉水瓶、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7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号电池、一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次性纸杯以及不同形状的物品等。建议垃圾数量总计为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20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个左右，两个队每队可在场地内摆放相同数量的同类垃圾</w:t>
            </w:r>
            <w:r>
              <w:rPr>
                <w:rFonts w:asciiTheme="minorEastAsia" w:eastAsiaTheme="minorEastAsia" w:hAnsiTheme="minorEastAsia" w:cs="黑体"/>
                <w:b/>
                <w:bCs/>
              </w:rPr>
              <w:t>。</w:t>
            </w:r>
          </w:p>
          <w:p w:rsidR="00005B92" w:rsidRDefault="00E2656B">
            <w:pPr>
              <w:spacing w:line="300" w:lineRule="auto"/>
              <w:rPr>
                <w:rFonts w:asciiTheme="minorEastAsia" w:eastAsia="PMingLiU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</w:rPr>
              <w:t>(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4)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竞赛使用的垃圾分类标准见图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2-2</w:t>
            </w:r>
            <w:r>
              <w:rPr>
                <w:rFonts w:asciiTheme="minorEastAsia" w:eastAsiaTheme="minorEastAsia" w:hAnsiTheme="minorEastAsia" w:cs="黑体"/>
                <w:b/>
                <w:bCs/>
              </w:rPr>
              <w:t>。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场地内的垃圾被分拣车拣拾后按类堆放到图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 xml:space="preserve"> 2-1 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中的红色线框标示的特定堆放区。</w:t>
            </w:r>
          </w:p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3.</w:t>
            </w: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分拣车统一使用指定的玩具车平台。加载传感器等改装后，车辆最大尺寸应在竞赛细则所限定的范围内。</w:t>
            </w:r>
          </w:p>
        </w:tc>
      </w:tr>
    </w:tbl>
    <w:p w:rsidR="00005B92" w:rsidRDefault="00005B92">
      <w:pPr>
        <w:spacing w:line="300" w:lineRule="auto"/>
        <w:rPr>
          <w:rFonts w:asciiTheme="minorEastAsia" w:eastAsiaTheme="minorEastAsia" w:hAnsiTheme="minorEastAsia" w:cs="黑体" w:hint="default"/>
          <w:b/>
          <w:bCs/>
          <w:lang w:val="zh-TW" w:eastAsia="zh-TW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74"/>
      </w:tblGrid>
      <w:tr w:rsidR="00005B92">
        <w:tc>
          <w:tcPr>
            <w:tcW w:w="8600" w:type="dxa"/>
          </w:tcPr>
          <w:p w:rsidR="00005B92" w:rsidRDefault="00E2656B">
            <w:p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lastRenderedPageBreak/>
              <w:t>判定比赛胜负的标准是：</w:t>
            </w:r>
          </w:p>
          <w:p w:rsidR="00005B92" w:rsidRDefault="00E2656B">
            <w:pPr>
              <w:numPr>
                <w:ilvl w:val="0"/>
                <w:numId w:val="2"/>
              </w:num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测量值与标准值相比，各次误差平均值较小的赛队胜出；</w:t>
            </w:r>
          </w:p>
          <w:p w:rsidR="00005B92" w:rsidRDefault="00E2656B">
            <w:pPr>
              <w:numPr>
                <w:ilvl w:val="0"/>
                <w:numId w:val="2"/>
              </w:numPr>
              <w:spacing w:line="300" w:lineRule="auto"/>
              <w:rPr>
                <w:rFonts w:asciiTheme="minorEastAsia" w:eastAsiaTheme="minorEastAsia" w:hAnsiTheme="minorEastAsia" w:cs="黑体" w:hint="default"/>
                <w:b/>
                <w:bCs/>
                <w:lang w:val="zh-TW" w:eastAsia="zh-TW"/>
              </w:rPr>
            </w:pPr>
            <w:r>
              <w:rPr>
                <w:rFonts w:asciiTheme="minorEastAsia" w:eastAsiaTheme="minorEastAsia" w:hAnsiTheme="minorEastAsia" w:cs="黑体"/>
                <w:b/>
                <w:bCs/>
                <w:lang w:eastAsia="zh-TW"/>
              </w:rPr>
              <w:t>若两队测量值在标准值误差范围内一致，则重复精度高的队胜出。</w:t>
            </w:r>
          </w:p>
        </w:tc>
      </w:tr>
    </w:tbl>
    <w:p w:rsidR="00005B92" w:rsidRDefault="00005B92">
      <w:pPr>
        <w:spacing w:line="300" w:lineRule="auto"/>
        <w:rPr>
          <w:rFonts w:asciiTheme="minorEastAsia" w:eastAsiaTheme="minorEastAsia" w:hAnsiTheme="minorEastAsia" w:cs="黑体" w:hint="default"/>
          <w:b/>
          <w:bCs/>
          <w:lang w:val="zh-TW" w:eastAsia="zh-TW"/>
        </w:rPr>
      </w:pPr>
    </w:p>
    <w:p w:rsidR="00005B92" w:rsidRDefault="00E2656B">
      <w:pPr>
        <w:spacing w:line="300" w:lineRule="auto"/>
        <w:rPr>
          <w:rFonts w:asciiTheme="minorEastAsia" w:eastAsiaTheme="minorEastAsia" w:hAnsiTheme="minorEastAsia" w:cs="黑体" w:hint="default"/>
          <w:b/>
          <w:bCs/>
          <w:lang w:val="zh-TW" w:eastAsia="zh-TW"/>
        </w:rPr>
      </w:pPr>
      <w:bookmarkStart w:id="0" w:name="_GoBack"/>
      <w:r>
        <w:rPr>
          <w:rFonts w:asciiTheme="minorEastAsia" w:eastAsiaTheme="minorEastAsia" w:hAnsiTheme="minorEastAsia" w:cs="黑体" w:hint="default"/>
          <w:b/>
          <w:bCs/>
          <w:noProof/>
          <w:lang w:val="zh-TW" w:eastAsia="zh-TW"/>
        </w:rPr>
        <w:drawing>
          <wp:inline distT="0" distB="0" distL="0" distR="0">
            <wp:extent cx="5668010" cy="6513195"/>
            <wp:effectExtent l="0" t="0" r="889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651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05B92" w:rsidRDefault="00005B92">
      <w:pPr>
        <w:spacing w:line="300" w:lineRule="auto"/>
        <w:rPr>
          <w:rFonts w:ascii="黑体" w:eastAsia="黑体" w:hAnsi="黑体" w:cs="黑体" w:hint="default"/>
          <w:lang w:val="zh-TW" w:eastAsia="zh-TW"/>
        </w:rPr>
      </w:pPr>
    </w:p>
    <w:p w:rsidR="00005B92" w:rsidRDefault="00E2656B">
      <w:pPr>
        <w:spacing w:line="300" w:lineRule="auto"/>
        <w:rPr>
          <w:rFonts w:ascii="黑体" w:eastAsia="黑体" w:hAnsi="黑体" w:cs="黑体"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lastRenderedPageBreak/>
        <w:t>竞赛要求：</w:t>
      </w:r>
    </w:p>
    <w:p w:rsidR="00005B92" w:rsidRDefault="00E2656B">
      <w:pPr>
        <w:spacing w:line="560" w:lineRule="exact"/>
        <w:ind w:firstLine="640"/>
        <w:rPr>
          <w:rFonts w:ascii="仿宋_GB2312" w:eastAsiaTheme="minorEastAsia" w:hAnsi="仿宋_GB2312" w:cs="仿宋_GB2312"/>
          <w:lang w:val="zh-TW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/>
          <w:lang w:val="zh-TW" w:eastAsia="zh-TW"/>
        </w:rPr>
        <w:t>每组参赛选手限选其中一个题目在校</w:t>
      </w:r>
      <w:r>
        <w:rPr>
          <w:rFonts w:ascii="仿宋_GB2312" w:eastAsia="仿宋_GB2312" w:hAnsi="仿宋_GB2312" w:cs="仿宋_GB2312"/>
        </w:rPr>
        <w:t>内</w:t>
      </w:r>
      <w:r>
        <w:rPr>
          <w:rFonts w:ascii="仿宋_GB2312" w:eastAsia="仿宋_GB2312" w:hAnsi="仿宋_GB2312" w:cs="仿宋_GB2312"/>
          <w:lang w:val="zh-TW" w:eastAsia="zh-TW"/>
        </w:rPr>
        <w:t>进行准备并完成全部实验。内容相关或相近的作品只能参加一个题目的竞赛。实验所需专用装置及设备由各组自行解决，所需较大较沉等不宜携带的通用仪器请于竞赛前向光电协会提出。</w:t>
      </w:r>
    </w:p>
    <w:p w:rsidR="00005B92" w:rsidRDefault="00E2656B">
      <w:pPr>
        <w:spacing w:line="560" w:lineRule="exact"/>
        <w:ind w:firstLine="640"/>
        <w:rPr>
          <w:rFonts w:hint="default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/>
          <w:lang w:val="zh-TW" w:eastAsia="zh-TW"/>
        </w:rPr>
        <w:t>参赛学生须预先提交参赛项目说明书。竞赛时，</w:t>
      </w:r>
      <w:r>
        <w:rPr>
          <w:rFonts w:ascii="仿宋_GB2312" w:eastAsia="仿宋_GB2312" w:hAnsi="仿宋_GB2312" w:cs="仿宋_GB2312"/>
          <w:kern w:val="0"/>
          <w:lang w:val="zh-TW" w:eastAsia="zh-TW"/>
        </w:rPr>
        <w:t>参赛队伍需</w:t>
      </w:r>
      <w:r>
        <w:rPr>
          <w:rFonts w:ascii="仿宋_GB2312" w:eastAsia="仿宋_GB2312" w:hAnsi="仿宋_GB2312" w:cs="仿宋_GB2312"/>
          <w:lang w:val="zh-TW" w:eastAsia="zh-TW"/>
        </w:rPr>
        <w:t>携带参赛作品，当场演示或陈述论文，并进行答辩。</w:t>
      </w:r>
      <w:r>
        <w:rPr>
          <w:rFonts w:ascii="Times New Roman" w:hAnsi="Times New Roman" w:hint="default"/>
        </w:rPr>
        <w:t> </w:t>
      </w:r>
    </w:p>
    <w:p w:rsidR="00005B92" w:rsidRDefault="00E2656B">
      <w:pPr>
        <w:spacing w:line="560" w:lineRule="exact"/>
        <w:ind w:firstLine="640"/>
        <w:rPr>
          <w:rFonts w:ascii="仿宋_GB2312" w:eastAsia="仿宋_GB2312" w:hAnsi="仿宋_GB2312" w:cs="仿宋_GB2312" w:hint="default"/>
        </w:rPr>
      </w:pPr>
      <w:r>
        <w:rPr>
          <w:rFonts w:ascii="Times New Roman" w:hAnsi="Times New Roman"/>
        </w:rPr>
        <w:t>3.</w:t>
      </w:r>
      <w:r>
        <w:rPr>
          <w:rFonts w:ascii="仿宋_GB2312" w:eastAsia="仿宋_GB2312" w:hAnsi="仿宋_GB2312" w:cs="仿宋_GB2312"/>
          <w:lang w:val="zh-TW" w:eastAsia="zh-TW"/>
        </w:rPr>
        <w:t>参赛作品应力求做到原理明确、装置简便且易于操作</w:t>
      </w:r>
      <w:r>
        <w:rPr>
          <w:rFonts w:ascii="Times New Roman" w:hAnsi="Times New Roman"/>
        </w:rPr>
        <w:t>,</w:t>
      </w:r>
      <w:r>
        <w:rPr>
          <w:rFonts w:ascii="仿宋_GB2312" w:eastAsia="仿宋_GB2312" w:hAnsi="仿宋_GB2312" w:cs="仿宋_GB2312"/>
          <w:lang w:val="zh-TW" w:eastAsia="zh-TW"/>
        </w:rPr>
        <w:t>方法巧妙且手段新颖、有特色；现场演示中操作规范，测量结果准确，并进行必要的数据分析；陈述清晰，回答问题正确。</w:t>
      </w:r>
      <w:r>
        <w:rPr>
          <w:rFonts w:ascii="Times New Roman" w:hAnsi="Times New Roman" w:hint="default"/>
        </w:rPr>
        <w:t>  </w:t>
      </w:r>
    </w:p>
    <w:p w:rsidR="00005B92" w:rsidRDefault="00E2656B">
      <w:pPr>
        <w:spacing w:line="300" w:lineRule="auto"/>
        <w:rPr>
          <w:rFonts w:ascii="黑体" w:eastAsia="黑体" w:hAnsi="黑体" w:cs="黑体" w:hint="default"/>
          <w:lang w:val="zh-TW" w:eastAsia="zh-TW"/>
        </w:rPr>
      </w:pPr>
      <w:r>
        <w:rPr>
          <w:rFonts w:ascii="黑体" w:eastAsia="黑体" w:hAnsi="黑体" w:cs="黑体"/>
          <w:lang w:val="zh-TW" w:eastAsia="zh-TW"/>
        </w:rPr>
        <w:t>评判标准：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光电原理明确。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实验方法巧妙、手段新颖、有特色。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陈述清晰，回答问题正确。</w:t>
      </w:r>
    </w:p>
    <w:p w:rsidR="00005B92" w:rsidRDefault="00E2656B">
      <w:pPr>
        <w:spacing w:line="300" w:lineRule="auto"/>
        <w:rPr>
          <w:rFonts w:ascii="宋体" w:eastAsia="宋体" w:hAnsi="宋体" w:cs="宋体" w:hint="default"/>
          <w:b/>
          <w:bCs/>
          <w:lang w:val="zh-TW" w:eastAsia="zh-TW"/>
        </w:rPr>
      </w:pPr>
      <w:r>
        <w:rPr>
          <w:rFonts w:ascii="仿宋_GB2312" w:eastAsia="仿宋_GB2312" w:hAnsi="仿宋_GB2312" w:cs="仿宋_GB2312"/>
          <w:b/>
          <w:bCs/>
          <w:lang w:val="zh-TW" w:eastAsia="zh-TW"/>
        </w:rPr>
        <w:t>对于题目一～题目</w:t>
      </w:r>
      <w:r>
        <w:rPr>
          <w:rFonts w:ascii="仿宋_GB2312" w:eastAsia="仿宋_GB2312" w:hAnsi="仿宋_GB2312" w:cs="仿宋_GB2312"/>
          <w:b/>
          <w:bCs/>
          <w:lang w:val="zh-CN"/>
        </w:rPr>
        <w:t>二</w:t>
      </w:r>
      <w:r>
        <w:rPr>
          <w:rFonts w:ascii="仿宋_GB2312" w:eastAsia="仿宋_GB2312" w:hAnsi="仿宋_GB2312" w:cs="仿宋_GB2312"/>
          <w:b/>
          <w:bCs/>
          <w:lang w:val="zh-TW" w:eastAsia="zh-TW"/>
        </w:rPr>
        <w:t>，还要求：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实验装置简便，易于操作。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现场操作熟练、规范。</w:t>
      </w:r>
    </w:p>
    <w:p w:rsidR="00005B92" w:rsidRDefault="00E2656B">
      <w:pPr>
        <w:numPr>
          <w:ilvl w:val="0"/>
          <w:numId w:val="3"/>
        </w:numPr>
        <w:spacing w:line="300" w:lineRule="auto"/>
        <w:rPr>
          <w:rFonts w:ascii="宋体" w:eastAsia="宋体" w:hAnsi="宋体" w:cs="宋体" w:hint="default"/>
          <w:lang w:val="zh-TW" w:eastAsia="zh-TW"/>
        </w:rPr>
      </w:pPr>
      <w:r>
        <w:rPr>
          <w:rFonts w:ascii="仿宋_GB2312" w:eastAsia="仿宋_GB2312" w:hAnsi="仿宋_GB2312" w:cs="仿宋_GB2312"/>
          <w:lang w:val="zh-TW" w:eastAsia="zh-TW"/>
        </w:rPr>
        <w:t>测量准确、并进行必要的数据分析。</w:t>
      </w:r>
    </w:p>
    <w:sectPr w:rsidR="00005B92">
      <w:pgSz w:w="11900" w:h="16840"/>
      <w:pgMar w:top="1440" w:right="1758" w:bottom="1440" w:left="1758" w:header="851" w:footer="99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Malgun Gothic"/>
    <w:charset w:val="00"/>
    <w:family w:val="auto"/>
    <w:pitch w:val="default"/>
    <w:sig w:usb0="00000000" w:usb1="00000000" w:usb2="0000001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_GB2312">
    <w:altName w:val="仿宋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FED7FB"/>
    <w:multiLevelType w:val="singleLevel"/>
    <w:tmpl w:val="D1FED7FB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3E3E3A8E"/>
    <w:multiLevelType w:val="singleLevel"/>
    <w:tmpl w:val="3E3E3A8E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402E6CF3"/>
    <w:multiLevelType w:val="multilevel"/>
    <w:tmpl w:val="402E6CF3"/>
    <w:lvl w:ilvl="0">
      <w:start w:val="1"/>
      <w:numFmt w:val="decimal"/>
      <w:lvlText w:val="%1."/>
      <w:lvlJc w:val="left"/>
      <w:pPr>
        <w:tabs>
          <w:tab w:val="left" w:pos="360"/>
          <w:tab w:val="left" w:pos="840"/>
        </w:tabs>
        <w:ind w:left="48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tabs>
          <w:tab w:val="left" w:pos="360"/>
          <w:tab w:val="left" w:pos="1200"/>
        </w:tabs>
        <w:ind w:left="84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Roman"/>
      <w:suff w:val="nothing"/>
      <w:lvlText w:val="%3."/>
      <w:lvlJc w:val="left"/>
      <w:pPr>
        <w:tabs>
          <w:tab w:val="left" w:pos="360"/>
        </w:tabs>
        <w:ind w:left="1260" w:firstLine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tabs>
          <w:tab w:val="left" w:pos="360"/>
          <w:tab w:val="left" w:pos="2040"/>
        </w:tabs>
        <w:ind w:left="168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360"/>
          <w:tab w:val="left" w:pos="2460"/>
        </w:tabs>
        <w:ind w:left="210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5">
      <w:start w:val="1"/>
      <w:numFmt w:val="lowerRoman"/>
      <w:suff w:val="nothing"/>
      <w:lvlText w:val="%6."/>
      <w:lvlJc w:val="left"/>
      <w:pPr>
        <w:tabs>
          <w:tab w:val="left" w:pos="360"/>
        </w:tabs>
        <w:ind w:left="2520" w:firstLine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>
      <w:start w:val="1"/>
      <w:numFmt w:val="decimal"/>
      <w:lvlText w:val="%7."/>
      <w:lvlJc w:val="left"/>
      <w:pPr>
        <w:tabs>
          <w:tab w:val="left" w:pos="360"/>
          <w:tab w:val="left" w:pos="3300"/>
        </w:tabs>
        <w:ind w:left="294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7">
      <w:start w:val="1"/>
      <w:numFmt w:val="lowerLetter"/>
      <w:lvlText w:val="%8)"/>
      <w:lvlJc w:val="left"/>
      <w:pPr>
        <w:tabs>
          <w:tab w:val="left" w:pos="360"/>
          <w:tab w:val="left" w:pos="3720"/>
        </w:tabs>
        <w:ind w:left="3360" w:hanging="1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8">
      <w:start w:val="1"/>
      <w:numFmt w:val="lowerRoman"/>
      <w:suff w:val="nothing"/>
      <w:lvlText w:val="%9."/>
      <w:lvlJc w:val="left"/>
      <w:pPr>
        <w:tabs>
          <w:tab w:val="left" w:pos="360"/>
        </w:tabs>
        <w:ind w:left="3780" w:firstLine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4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8E9"/>
    <w:rsid w:val="00005B92"/>
    <w:rsid w:val="00027712"/>
    <w:rsid w:val="000A39F9"/>
    <w:rsid w:val="000B77B3"/>
    <w:rsid w:val="00167455"/>
    <w:rsid w:val="002821D3"/>
    <w:rsid w:val="002C4AA7"/>
    <w:rsid w:val="003B3B9D"/>
    <w:rsid w:val="003C1A4D"/>
    <w:rsid w:val="0045107C"/>
    <w:rsid w:val="004A39CF"/>
    <w:rsid w:val="00640361"/>
    <w:rsid w:val="007E3CFB"/>
    <w:rsid w:val="00855EED"/>
    <w:rsid w:val="00980720"/>
    <w:rsid w:val="00A372D6"/>
    <w:rsid w:val="00C67F47"/>
    <w:rsid w:val="00C9539D"/>
    <w:rsid w:val="00D138E9"/>
    <w:rsid w:val="00E2656B"/>
    <w:rsid w:val="00F4399A"/>
    <w:rsid w:val="00FA1B2E"/>
    <w:rsid w:val="0B8F71DD"/>
    <w:rsid w:val="1A3069D9"/>
    <w:rsid w:val="1EC561BD"/>
    <w:rsid w:val="201B3E8F"/>
    <w:rsid w:val="29D453C2"/>
    <w:rsid w:val="489F2424"/>
    <w:rsid w:val="5043284D"/>
    <w:rsid w:val="59F5646C"/>
    <w:rsid w:val="5DFC74C8"/>
    <w:rsid w:val="62B8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D5D93F"/>
  <w15:docId w15:val="{BADD3CEA-581D-4A23-AAF1-FF39CA29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32"/>
      <w:szCs w:val="32"/>
      <w:u w:color="00000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qFormat/>
    <w:pPr>
      <w:widowControl w:val="0"/>
      <w:spacing w:after="120"/>
      <w:ind w:left="420"/>
      <w:jc w:val="both"/>
    </w:pPr>
    <w:rPr>
      <w:rFonts w:ascii="Arial Unicode MS" w:eastAsia="Arial Unicode MS" w:hAnsi="Arial Unicode MS" w:cs="Arial Unicode MS" w:hint="eastAsia"/>
      <w:color w:val="000000"/>
      <w:kern w:val="2"/>
      <w:sz w:val="32"/>
      <w:szCs w:val="32"/>
      <w:u w:color="00000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qFormat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customStyle="1" w:styleId="a7">
    <w:name w:val="页眉 字符"/>
    <w:basedOn w:val="a0"/>
    <w:link w:val="a6"/>
    <w:uiPriority w:val="99"/>
    <w:qFormat/>
    <w:rPr>
      <w:rFonts w:ascii="Arial Unicode MS" w:eastAsia="Arial Unicode MS" w:hAnsi="Arial Unicode MS" w:cs="Arial Unicode MS"/>
      <w:color w:val="000000"/>
      <w:kern w:val="2"/>
      <w:sz w:val="18"/>
      <w:szCs w:val="18"/>
      <w:u w:color="000000"/>
    </w:rPr>
  </w:style>
  <w:style w:type="character" w:customStyle="1" w:styleId="a5">
    <w:name w:val="页脚 字符"/>
    <w:basedOn w:val="a0"/>
    <w:link w:val="a4"/>
    <w:uiPriority w:val="99"/>
    <w:qFormat/>
    <w:rPr>
      <w:rFonts w:ascii="Arial Unicode MS" w:eastAsia="Arial Unicode MS" w:hAnsi="Arial Unicode MS" w:cs="Arial Unicode MS"/>
      <w:color w:val="000000"/>
      <w:kern w:val="2"/>
      <w:sz w:val="18"/>
      <w:szCs w:val="18"/>
      <w:u w:color="000000"/>
    </w:rPr>
  </w:style>
  <w:style w:type="paragraph" w:styleId="aa">
    <w:name w:val="List Paragraph"/>
    <w:basedOn w:val="a"/>
    <w:uiPriority w:val="99"/>
    <w:pPr>
      <w:ind w:firstLineChars="200" w:firstLine="420"/>
    </w:pPr>
  </w:style>
  <w:style w:type="character" w:customStyle="1" w:styleId="40">
    <w:name w:val="标题 4 字符"/>
    <w:link w:val="4"/>
    <w:rPr>
      <w:rFonts w:ascii="Arial" w:eastAsia="黑体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2021-04-10T15:34:00Z</dcterms:created>
  <dcterms:modified xsi:type="dcterms:W3CDTF">2021-04-15T07:50:00Z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F701F3F15FA3480D93F5FE53DED6C03E</vt:lpwstr>
  </property>
</Properties>
</file>