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sz w:val="30"/>
          <w:szCs w:val="30"/>
        </w:rPr>
      </w:pPr>
      <w:r>
        <w:rPr>
          <w:rFonts w:hint="eastAsia" w:ascii="仿宋_GB2312" w:eastAsia="仿宋_GB2312"/>
          <w:sz w:val="30"/>
          <w:szCs w:val="30"/>
        </w:rPr>
        <w:t>附件</w:t>
      </w:r>
      <w:r>
        <w:rPr>
          <w:rFonts w:hint="eastAsia" w:ascii="仿宋_GB2312" w:eastAsia="仿宋_GB2312"/>
          <w:sz w:val="30"/>
          <w:szCs w:val="30"/>
          <w:lang w:val="en-US" w:eastAsia="zh-CN"/>
        </w:rPr>
        <w:t>1</w:t>
      </w:r>
      <w:r>
        <w:rPr>
          <w:rFonts w:hint="eastAsia" w:ascii="仿宋_GB2312" w:eastAsia="仿宋_GB2312"/>
          <w:sz w:val="30"/>
          <w:szCs w:val="30"/>
        </w:rPr>
        <w:t>：</w:t>
      </w:r>
    </w:p>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中国石油大学（北京）优秀团支部</w:t>
      </w:r>
      <w:r>
        <w:rPr>
          <w:rFonts w:hint="eastAsia" w:ascii="方正小标宋简体" w:hAnsi="方正小标宋简体" w:eastAsia="方正小标宋简体"/>
          <w:sz w:val="36"/>
          <w:szCs w:val="36"/>
          <w:lang w:val="en-US" w:eastAsia="zh-CN"/>
        </w:rPr>
        <w:t>推荐</w:t>
      </w:r>
      <w:r>
        <w:rPr>
          <w:rFonts w:hint="eastAsia" w:ascii="方正小标宋简体" w:hAnsi="方正小标宋简体" w:eastAsia="方正小标宋简体"/>
          <w:sz w:val="36"/>
          <w:szCs w:val="36"/>
        </w:rPr>
        <w:t>表</w:t>
      </w:r>
    </w:p>
    <w:tbl>
      <w:tblPr>
        <w:tblStyle w:val="7"/>
        <w:tblW w:w="1050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44"/>
        <w:gridCol w:w="1155"/>
        <w:gridCol w:w="802"/>
        <w:gridCol w:w="593"/>
        <w:gridCol w:w="827"/>
        <w:gridCol w:w="919"/>
        <w:gridCol w:w="664"/>
        <w:gridCol w:w="1252"/>
        <w:gridCol w:w="1225"/>
        <w:gridCol w:w="783"/>
        <w:gridCol w:w="1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88" w:hRule="atLeast"/>
          <w:jc w:val="center"/>
        </w:trPr>
        <w:tc>
          <w:tcPr>
            <w:tcW w:w="844" w:type="dxa"/>
            <w:vMerge w:val="restart"/>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团支</w:t>
            </w:r>
          </w:p>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部基</w:t>
            </w:r>
          </w:p>
          <w:p>
            <w:pPr>
              <w:spacing w:line="380" w:lineRule="exact"/>
              <w:jc w:val="center"/>
              <w:rPr>
                <w:rFonts w:ascii="Times New Roman" w:hAnsi="Times New Roman" w:eastAsia="仿宋_GB2312"/>
                <w:spacing w:val="46"/>
                <w:kern w:val="18"/>
                <w:sz w:val="28"/>
              </w:rPr>
            </w:pPr>
            <w:r>
              <w:rPr>
                <w:rFonts w:hint="eastAsia" w:ascii="Times New Roman" w:hAnsi="Times New Roman" w:eastAsia="仿宋_GB2312"/>
                <w:spacing w:val="46"/>
                <w:kern w:val="18"/>
              </w:rPr>
              <w:t>本情况</w:t>
            </w:r>
          </w:p>
        </w:tc>
        <w:tc>
          <w:tcPr>
            <w:tcW w:w="2550" w:type="dxa"/>
            <w:gridSpan w:val="3"/>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仿宋_GB2312" w:hAnsi="Times New Roman" w:eastAsia="仿宋_GB2312"/>
                <w:spacing w:val="46"/>
                <w:kern w:val="18"/>
                <w:sz w:val="28"/>
                <w:szCs w:val="28"/>
              </w:rPr>
            </w:pPr>
            <w:r>
              <w:rPr>
                <w:rFonts w:hint="eastAsia" w:ascii="仿宋_GB2312" w:hAnsi="Times New Roman" w:eastAsia="仿宋_GB2312"/>
                <w:spacing w:val="46"/>
                <w:kern w:val="18"/>
                <w:sz w:val="28"/>
                <w:szCs w:val="28"/>
              </w:rPr>
              <w:t>团支部名称</w:t>
            </w:r>
          </w:p>
        </w:tc>
        <w:tc>
          <w:tcPr>
            <w:tcW w:w="7112" w:type="dxa"/>
            <w:gridSpan w:val="7"/>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28"/>
                <w:lang w:val="en-US" w:eastAsia="zh-CN"/>
              </w:rPr>
            </w:pPr>
            <w:r>
              <w:rPr>
                <w:rFonts w:hint="eastAsia" w:ascii="Times New Roman" w:hAnsi="Times New Roman" w:eastAsia="仿宋_GB2312"/>
                <w:kern w:val="18"/>
                <w:sz w:val="28"/>
                <w:lang w:val="en-US" w:eastAsia="zh-CN"/>
              </w:rPr>
              <w:t>储运21-2团支部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1140"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spacing w:val="46"/>
                <w:kern w:val="18"/>
                <w:sz w:val="28"/>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团员</w:t>
            </w:r>
          </w:p>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rPr>
              <w:t>人数</w:t>
            </w:r>
            <w:r>
              <w:rPr>
                <w:rFonts w:hint="eastAsia" w:ascii="Times New Roman" w:hAnsi="Times New Roman" w:eastAsia="仿宋_GB2312"/>
                <w:kern w:val="18"/>
                <w:szCs w:val="21"/>
                <w:lang w:val="en-US" w:eastAsia="zh-CN"/>
              </w:rPr>
              <w:t>/非团员人数</w:t>
            </w:r>
          </w:p>
        </w:tc>
        <w:tc>
          <w:tcPr>
            <w:tcW w:w="1395" w:type="dxa"/>
            <w:gridSpan w:val="2"/>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lang w:val="en-US"/>
              </w:rPr>
            </w:pPr>
            <w:r>
              <w:rPr>
                <w:rFonts w:ascii="Times New Roman" w:hAnsi="Times New Roman" w:eastAsia="仿宋_GB2312"/>
                <w:kern w:val="18"/>
                <w:sz w:val="18"/>
                <w:szCs w:val="18"/>
                <w:lang w:val="en-US"/>
              </w:rPr>
              <w:t>31/1</w:t>
            </w:r>
          </w:p>
        </w:tc>
        <w:tc>
          <w:tcPr>
            <w:tcW w:w="827"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团青比</w:t>
            </w:r>
          </w:p>
        </w:tc>
        <w:tc>
          <w:tcPr>
            <w:tcW w:w="1583" w:type="dxa"/>
            <w:gridSpan w:val="2"/>
            <w:tcBorders>
              <w:top w:val="single" w:color="000000" w:sz="6" w:space="0"/>
              <w:left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31/32</w:t>
            </w:r>
          </w:p>
        </w:tc>
        <w:tc>
          <w:tcPr>
            <w:tcW w:w="125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党员人数</w:t>
            </w:r>
          </w:p>
        </w:tc>
        <w:tc>
          <w:tcPr>
            <w:tcW w:w="1225"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18"/>
                <w:szCs w:val="18"/>
                <w:lang w:val="en-US"/>
              </w:rPr>
            </w:pPr>
            <w:r>
              <w:rPr>
                <w:rFonts w:ascii="Times New Roman" w:hAnsi="Times New Roman" w:eastAsia="仿宋_GB2312"/>
                <w:kern w:val="18"/>
                <w:sz w:val="18"/>
                <w:szCs w:val="18"/>
                <w:lang w:val="en-US"/>
              </w:rPr>
              <w:t>3</w:t>
            </w:r>
          </w:p>
        </w:tc>
        <w:tc>
          <w:tcPr>
            <w:tcW w:w="78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申请入党人数</w:t>
            </w:r>
          </w:p>
        </w:tc>
        <w:tc>
          <w:tcPr>
            <w:tcW w:w="1442" w:type="dxa"/>
            <w:tcBorders>
              <w:top w:val="single" w:color="000000" w:sz="6" w:space="0"/>
              <w:left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18"/>
                <w:szCs w:val="18"/>
                <w:lang w:val="en-US" w:eastAsia="zh-CN"/>
              </w:rPr>
            </w:pPr>
            <w:r>
              <w:rPr>
                <w:rFonts w:hint="eastAsia" w:ascii="Times New Roman" w:hAnsi="Times New Roman" w:eastAsia="仿宋_GB2312"/>
                <w:kern w:val="18"/>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80" w:hRule="atLeast"/>
          <w:jc w:val="center"/>
        </w:trPr>
        <w:tc>
          <w:tcPr>
            <w:tcW w:w="844" w:type="dxa"/>
            <w:vMerge w:val="restart"/>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团</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支</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委</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基</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本</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情</w:t>
            </w:r>
          </w:p>
          <w:p>
            <w:pPr>
              <w:spacing w:line="500" w:lineRule="exact"/>
              <w:jc w:val="center"/>
              <w:rPr>
                <w:rFonts w:ascii="Times New Roman" w:hAnsi="Times New Roman" w:eastAsia="仿宋_GB2312"/>
                <w:kern w:val="18"/>
                <w:szCs w:val="21"/>
              </w:rPr>
            </w:pPr>
            <w:r>
              <w:rPr>
                <w:rFonts w:hint="eastAsia" w:ascii="Times New Roman" w:hAnsi="Times New Roman" w:eastAsia="仿宋_GB2312"/>
                <w:kern w:val="18"/>
                <w:sz w:val="28"/>
              </w:rPr>
              <w:t>况</w:t>
            </w: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姓</w:t>
            </w:r>
            <w:r>
              <w:rPr>
                <w:rFonts w:ascii="Times New Roman" w:hAnsi="Times New Roman" w:eastAsia="仿宋_GB2312"/>
                <w:kern w:val="18"/>
                <w:szCs w:val="21"/>
              </w:rPr>
              <w:t xml:space="preserve"> </w:t>
            </w:r>
            <w:r>
              <w:rPr>
                <w:rFonts w:hint="eastAsia" w:ascii="Times New Roman" w:hAnsi="Times New Roman" w:eastAsia="仿宋_GB2312"/>
                <w:kern w:val="18"/>
                <w:szCs w:val="21"/>
              </w:rPr>
              <w:t>名</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性</w:t>
            </w:r>
            <w:r>
              <w:rPr>
                <w:rFonts w:ascii="Times New Roman" w:hAnsi="Times New Roman" w:eastAsia="仿宋_GB2312"/>
                <w:kern w:val="18"/>
                <w:szCs w:val="21"/>
              </w:rPr>
              <w:t xml:space="preserve"> </w:t>
            </w:r>
            <w:r>
              <w:rPr>
                <w:rFonts w:hint="eastAsia" w:ascii="Times New Roman" w:hAnsi="Times New Roman" w:eastAsia="仿宋_GB2312"/>
                <w:kern w:val="18"/>
                <w:szCs w:val="21"/>
              </w:rPr>
              <w:t>别</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政治面貌</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民</w:t>
            </w:r>
            <w:r>
              <w:rPr>
                <w:rFonts w:ascii="Times New Roman" w:hAnsi="Times New Roman" w:eastAsia="仿宋_GB2312"/>
                <w:kern w:val="18"/>
                <w:szCs w:val="21"/>
              </w:rPr>
              <w:t xml:space="preserve"> </w:t>
            </w:r>
            <w:r>
              <w:rPr>
                <w:rFonts w:hint="eastAsia" w:ascii="Times New Roman" w:hAnsi="Times New Roman" w:eastAsia="仿宋_GB2312"/>
                <w:kern w:val="18"/>
                <w:szCs w:val="21"/>
              </w:rPr>
              <w:t>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团内职务</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联系方式</w:t>
            </w:r>
          </w:p>
        </w:tc>
        <w:tc>
          <w:tcPr>
            <w:tcW w:w="2225"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 w:val="20"/>
                <w:szCs w:val="18"/>
              </w:rPr>
            </w:pPr>
            <w:r>
              <w:rPr>
                <w:rFonts w:hint="eastAsia" w:ascii="Times New Roman" w:hAnsi="Times New Roman" w:eastAsia="仿宋_GB2312"/>
                <w:kern w:val="18"/>
                <w:szCs w:val="21"/>
              </w:rPr>
              <w:t>其他职务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77"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jc w:val="center"/>
              <w:rPr>
                <w:rFonts w:hint="default"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李子祎</w:t>
            </w:r>
          </w:p>
        </w:tc>
        <w:tc>
          <w:tcPr>
            <w:tcW w:w="80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共青团员</w:t>
            </w:r>
          </w:p>
        </w:tc>
        <w:tc>
          <w:tcPr>
            <w:tcW w:w="919"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汉</w:t>
            </w:r>
          </w:p>
        </w:tc>
        <w:tc>
          <w:tcPr>
            <w:tcW w:w="1916"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团支部书记</w:t>
            </w:r>
          </w:p>
        </w:tc>
        <w:tc>
          <w:tcPr>
            <w:tcW w:w="122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19518836596</w:t>
            </w:r>
          </w:p>
        </w:tc>
        <w:tc>
          <w:tcPr>
            <w:tcW w:w="2225"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张清爽</w:t>
            </w:r>
          </w:p>
        </w:tc>
        <w:tc>
          <w:tcPr>
            <w:tcW w:w="80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中共预备党员</w:t>
            </w:r>
          </w:p>
        </w:tc>
        <w:tc>
          <w:tcPr>
            <w:tcW w:w="919"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汉</w:t>
            </w:r>
          </w:p>
        </w:tc>
        <w:tc>
          <w:tcPr>
            <w:tcW w:w="1916" w:type="dxa"/>
            <w:gridSpan w:val="2"/>
            <w:tcBorders>
              <w:top w:val="single" w:color="000000" w:sz="6" w:space="0"/>
              <w:left w:val="single" w:color="000000" w:sz="6" w:space="0"/>
              <w:bottom w:val="single" w:color="000000" w:sz="6" w:space="0"/>
              <w:right w:val="single" w:color="000000" w:sz="6" w:space="0"/>
            </w:tcBorders>
          </w:tcPr>
          <w:p>
            <w:pPr>
              <w:jc w:val="center"/>
              <w:rPr>
                <w:rFonts w:hint="default"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团支部副书记</w:t>
            </w:r>
          </w:p>
        </w:tc>
        <w:tc>
          <w:tcPr>
            <w:tcW w:w="122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15552197993</w:t>
            </w:r>
          </w:p>
        </w:tc>
        <w:tc>
          <w:tcPr>
            <w:tcW w:w="2225" w:type="dxa"/>
            <w:gridSpan w:val="2"/>
            <w:tcBorders>
              <w:top w:val="single" w:color="000000" w:sz="6" w:space="0"/>
              <w:left w:val="single" w:color="000000" w:sz="6" w:space="0"/>
              <w:bottom w:val="single" w:color="000000" w:sz="6" w:space="0"/>
              <w:right w:val="single" w:color="000000" w:sz="6" w:space="0"/>
            </w:tcBorders>
          </w:tcPr>
          <w:p>
            <w:pPr>
              <w:jc w:val="center"/>
              <w:rPr>
                <w:rFonts w:hint="default"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校学生会主席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张新运</w:t>
            </w:r>
          </w:p>
        </w:tc>
        <w:tc>
          <w:tcPr>
            <w:tcW w:w="80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女</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中共预备党员</w:t>
            </w:r>
          </w:p>
        </w:tc>
        <w:tc>
          <w:tcPr>
            <w:tcW w:w="919"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汉</w:t>
            </w:r>
          </w:p>
        </w:tc>
        <w:tc>
          <w:tcPr>
            <w:tcW w:w="1916"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组织委员</w:t>
            </w:r>
          </w:p>
        </w:tc>
        <w:tc>
          <w:tcPr>
            <w:tcW w:w="122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18801217808</w:t>
            </w:r>
          </w:p>
        </w:tc>
        <w:tc>
          <w:tcPr>
            <w:tcW w:w="2225" w:type="dxa"/>
            <w:gridSpan w:val="2"/>
            <w:tcBorders>
              <w:top w:val="single" w:color="000000" w:sz="6" w:space="0"/>
              <w:left w:val="single" w:color="000000" w:sz="6" w:space="0"/>
              <w:bottom w:val="single" w:color="000000" w:sz="6" w:space="0"/>
              <w:right w:val="single" w:color="000000" w:sz="6" w:space="0"/>
            </w:tcBorders>
          </w:tcPr>
          <w:p>
            <w:pPr>
              <w:jc w:val="center"/>
              <w:rPr>
                <w:rFonts w:hint="default"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机械学院青协主席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李屹楠</w:t>
            </w:r>
          </w:p>
        </w:tc>
        <w:tc>
          <w:tcPr>
            <w:tcW w:w="802"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eastAsia="zh-CN"/>
              </w:rPr>
            </w:pPr>
            <w:r>
              <w:rPr>
                <w:rFonts w:hint="eastAsia" w:ascii="仿宋_GB2312" w:hAnsi="Times New Roman" w:eastAsia="仿宋_GB2312"/>
                <w:kern w:val="18"/>
                <w:sz w:val="28"/>
                <w:szCs w:val="21"/>
                <w:lang w:eastAsia="zh-CN"/>
              </w:rPr>
              <w:t>共青团员</w:t>
            </w:r>
          </w:p>
        </w:tc>
        <w:tc>
          <w:tcPr>
            <w:tcW w:w="919"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汉</w:t>
            </w:r>
          </w:p>
        </w:tc>
        <w:tc>
          <w:tcPr>
            <w:tcW w:w="1916" w:type="dxa"/>
            <w:gridSpan w:val="2"/>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kern w:val="18"/>
                <w:sz w:val="28"/>
                <w:szCs w:val="21"/>
                <w:lang w:val="en-US" w:eastAsia="zh-CN"/>
              </w:rPr>
            </w:pPr>
            <w:r>
              <w:rPr>
                <w:rFonts w:hint="eastAsia" w:ascii="仿宋_GB2312" w:hAnsi="Times New Roman" w:eastAsia="仿宋_GB2312"/>
                <w:kern w:val="18"/>
                <w:sz w:val="28"/>
                <w:szCs w:val="21"/>
                <w:lang w:val="en-US" w:eastAsia="zh-CN"/>
              </w:rPr>
              <w:t>宣传委员</w:t>
            </w:r>
          </w:p>
        </w:tc>
        <w:tc>
          <w:tcPr>
            <w:tcW w:w="1225" w:type="dxa"/>
            <w:tcBorders>
              <w:top w:val="single" w:color="000000" w:sz="6" w:space="0"/>
              <w:left w:val="single" w:color="000000" w:sz="6" w:space="0"/>
              <w:bottom w:val="single" w:color="000000" w:sz="6" w:space="0"/>
              <w:right w:val="single" w:color="000000" w:sz="6" w:space="0"/>
            </w:tcBorders>
          </w:tcPr>
          <w:p>
            <w:pPr>
              <w:jc w:val="center"/>
              <w:rPr>
                <w:rFonts w:hint="eastAsia" w:ascii="仿宋_GB2312" w:hAnsi="Times New Roman" w:eastAsia="仿宋_GB2312"/>
                <w:sz w:val="28"/>
                <w:szCs w:val="21"/>
                <w:lang w:eastAsia="zh-CN"/>
              </w:rPr>
            </w:pPr>
            <w:r>
              <w:rPr>
                <w:rFonts w:hint="eastAsia" w:ascii="仿宋_GB2312" w:hAnsi="Times New Roman" w:eastAsia="仿宋_GB2312"/>
                <w:sz w:val="28"/>
                <w:szCs w:val="21"/>
                <w:lang w:eastAsia="zh-CN"/>
              </w:rPr>
              <w:t>18801362207</w:t>
            </w:r>
          </w:p>
        </w:tc>
        <w:tc>
          <w:tcPr>
            <w:tcW w:w="2225"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802"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919"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1916"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c>
          <w:tcPr>
            <w:tcW w:w="1225" w:type="dxa"/>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sz w:val="28"/>
                <w:szCs w:val="21"/>
              </w:rPr>
            </w:pPr>
          </w:p>
        </w:tc>
        <w:tc>
          <w:tcPr>
            <w:tcW w:w="2225" w:type="dxa"/>
            <w:gridSpan w:val="2"/>
            <w:tcBorders>
              <w:top w:val="single" w:color="000000" w:sz="6" w:space="0"/>
              <w:left w:val="single" w:color="000000" w:sz="6" w:space="0"/>
              <w:bottom w:val="single" w:color="000000" w:sz="6" w:space="0"/>
              <w:right w:val="single" w:color="000000" w:sz="6" w:space="0"/>
            </w:tcBorders>
          </w:tcPr>
          <w:p>
            <w:pPr>
              <w:jc w:val="center"/>
              <w:rPr>
                <w:rFonts w:ascii="仿宋_GB2312" w:hAnsi="Times New Roman" w:eastAsia="仿宋_GB2312"/>
                <w:kern w:val="18"/>
                <w:sz w:val="2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5113" w:hRule="atLeast"/>
          <w:jc w:val="center"/>
        </w:trPr>
        <w:tc>
          <w:tcPr>
            <w:tcW w:w="844"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主</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要</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事</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迹</w:t>
            </w:r>
          </w:p>
        </w:tc>
        <w:tc>
          <w:tcPr>
            <w:tcW w:w="9662" w:type="dxa"/>
            <w:gridSpan w:val="10"/>
            <w:tcBorders>
              <w:top w:val="single" w:color="000000" w:sz="6" w:space="0"/>
              <w:left w:val="single" w:color="000000" w:sz="6" w:space="0"/>
              <w:right w:val="single" w:color="000000" w:sz="6" w:space="0"/>
            </w:tcBorders>
          </w:tcPr>
          <w:p>
            <w:pPr>
              <w:spacing w:line="380" w:lineRule="exact"/>
              <w:jc w:val="center"/>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践行复信精神，矢志能源报国</w:t>
            </w:r>
          </w:p>
          <w:p>
            <w:pPr>
              <w:spacing w:line="380" w:lineRule="exact"/>
              <w:jc w:val="center"/>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四站互联，构建班团“一带一路”油气枢纽</w:t>
            </w:r>
          </w:p>
          <w:p>
            <w:pPr>
              <w:spacing w:line="380" w:lineRule="exact"/>
              <w:ind w:firstLine="560" w:firstLineChars="200"/>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2023年，是“一带一路”合作倡议提出的十周年，也是习总书记第二次回信我校学生的纪念性时刻。精神跨时空而不朽，信念因执著而弥坚。储运21-2</w:t>
            </w:r>
            <w:r>
              <w:rPr>
                <w:rFonts w:hint="eastAsia" w:ascii="Times New Roman" w:hAnsi="Times New Roman" w:eastAsia="仿宋_GB2312"/>
                <w:kern w:val="18"/>
                <w:sz w:val="28"/>
                <w:szCs w:val="28"/>
                <w:lang w:val="en-US" w:eastAsia="zh-CN"/>
              </w:rPr>
              <w:t>团支部</w:t>
            </w:r>
            <w:r>
              <w:rPr>
                <w:rFonts w:hint="eastAsia" w:ascii="Times New Roman" w:hAnsi="Times New Roman" w:eastAsia="仿宋_GB2312"/>
                <w:kern w:val="18"/>
                <w:sz w:val="28"/>
                <w:szCs w:val="28"/>
              </w:rPr>
              <w:t>以习总书记“回信精神”为引领，拟化集输站、加油站、储配站，分输站四个意象，构建</w:t>
            </w:r>
            <w:r>
              <w:rPr>
                <w:rFonts w:hint="default" w:ascii="Times New Roman" w:hAnsi="Times New Roman" w:eastAsia="仿宋_GB2312"/>
                <w:kern w:val="18"/>
                <w:sz w:val="28"/>
                <w:szCs w:val="28"/>
                <w:lang w:val="en-US"/>
              </w:rPr>
              <w:t>支部</w:t>
            </w:r>
            <w:r>
              <w:rPr>
                <w:rFonts w:hint="eastAsia" w:ascii="Times New Roman" w:hAnsi="Times New Roman" w:eastAsia="仿宋_GB2312"/>
                <w:kern w:val="18"/>
                <w:sz w:val="28"/>
                <w:szCs w:val="28"/>
              </w:rPr>
              <w:t>一带一路油气枢纽。</w:t>
            </w:r>
          </w:p>
          <w:p>
            <w:pPr>
              <w:spacing w:line="380" w:lineRule="exact"/>
              <w:ind w:firstLine="560" w:firstLineChars="200"/>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val="en-US" w:eastAsia="zh-CN"/>
              </w:rPr>
              <w:t>支部</w:t>
            </w:r>
            <w:r>
              <w:rPr>
                <w:rFonts w:hint="eastAsia" w:ascii="Times New Roman" w:hAnsi="Times New Roman" w:eastAsia="仿宋_GB2312"/>
                <w:kern w:val="18"/>
                <w:sz w:val="28"/>
                <w:szCs w:val="28"/>
              </w:rPr>
              <w:t>共有成员3</w:t>
            </w:r>
            <w:r>
              <w:rPr>
                <w:rFonts w:hint="default" w:ascii="Times New Roman" w:hAnsi="Times New Roman" w:eastAsia="仿宋_GB2312"/>
                <w:kern w:val="18"/>
                <w:sz w:val="28"/>
                <w:szCs w:val="28"/>
                <w:lang w:val="en-US"/>
              </w:rPr>
              <w:t>2</w:t>
            </w:r>
            <w:r>
              <w:rPr>
                <w:rFonts w:hint="eastAsia" w:ascii="Times New Roman" w:hAnsi="Times New Roman" w:eastAsia="仿宋_GB2312"/>
                <w:kern w:val="18"/>
                <w:sz w:val="28"/>
                <w:szCs w:val="28"/>
              </w:rPr>
              <w:t>名，其中预备</w:t>
            </w:r>
            <w:bookmarkStart w:id="0" w:name="_GoBack"/>
            <w:bookmarkEnd w:id="0"/>
            <w:r>
              <w:rPr>
                <w:rFonts w:hint="eastAsia" w:ascii="Times New Roman" w:hAnsi="Times New Roman" w:eastAsia="仿宋_GB2312"/>
                <w:kern w:val="18"/>
                <w:sz w:val="28"/>
                <w:szCs w:val="28"/>
              </w:rPr>
              <w:t>党员4名，发展对象2名，6人留任校院两级社团主席。</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共有名誉导师张晓萍、企业导师李昆、学业导师张宏、班主任刘啸奔4位导师，引领同学全面发展。</w:t>
            </w:r>
          </w:p>
          <w:p>
            <w:pPr>
              <w:spacing w:line="380" w:lineRule="exact"/>
              <w:ind w:firstLine="560" w:firstLineChars="200"/>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首都市民学习之星、中国石油大学（北京）储运系教授宫敬为储运21-2班同学们亲切寄语，希望同学们矢志不渝坚持能源报国信念，为中华民族伟大复兴做出自己的贡献。</w:t>
            </w:r>
          </w:p>
          <w:p>
            <w:pPr>
              <w:spacing w:line="380" w:lineRule="exact"/>
              <w:jc w:val="center"/>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赓续薪火，忆来时路——打造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思想引领“集输站”</w:t>
            </w:r>
          </w:p>
          <w:p>
            <w:pPr>
              <w:spacing w:line="380" w:lineRule="exact"/>
              <w:ind w:firstLine="562" w:firstLineChars="200"/>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凝心铸魂，政治功能强。</w:t>
            </w:r>
            <w:r>
              <w:rPr>
                <w:rFonts w:hint="eastAsia" w:ascii="Times New Roman" w:hAnsi="Times New Roman" w:eastAsia="仿宋_GB2312"/>
                <w:kern w:val="18"/>
                <w:sz w:val="28"/>
                <w:szCs w:val="28"/>
              </w:rPr>
              <w:t>学习强国累计积分超50万分，举办思政读书会14场，入党申请书提交率100%，青年大学习完成率100%，强国征文投稿率100%。</w:t>
            </w:r>
          </w:p>
          <w:p>
            <w:pPr>
              <w:keepNext w:val="0"/>
              <w:keepLines w:val="0"/>
              <w:pageBreakBefore w:val="0"/>
              <w:widowControl w:val="0"/>
              <w:kinsoku/>
              <w:wordWrap/>
              <w:overflowPunct/>
              <w:topLinePunct w:val="0"/>
              <w:autoSpaceDE/>
              <w:autoSpaceDN/>
              <w:bidi w:val="0"/>
              <w:adjustRightInd w:val="0"/>
              <w:snapToGrid/>
              <w:spacing w:line="380" w:lineRule="exact"/>
              <w:ind w:firstLine="562"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开拓创新，党团组织强。</w:t>
            </w:r>
            <w:r>
              <w:rPr>
                <w:rFonts w:hint="eastAsia" w:ascii="Times New Roman" w:hAnsi="Times New Roman" w:eastAsia="仿宋_GB2312"/>
                <w:kern w:val="18"/>
                <w:sz w:val="28"/>
                <w:szCs w:val="28"/>
              </w:rPr>
              <w:t>开展学习会累计26次，支部活动50余次，前往多地学习感悟，并联合党支部共建。其中红色1+1活动获北京市二等奖。</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邀请若贺曼同学践行复信精神，共话一带一路。</w:t>
            </w:r>
          </w:p>
          <w:p>
            <w:pPr>
              <w:keepNext w:val="0"/>
              <w:keepLines w:val="0"/>
              <w:pageBreakBefore w:val="0"/>
              <w:widowControl w:val="0"/>
              <w:kinsoku/>
              <w:wordWrap/>
              <w:overflowPunct/>
              <w:topLinePunct w:val="0"/>
              <w:autoSpaceDE/>
              <w:autoSpaceDN/>
              <w:bidi w:val="0"/>
              <w:adjustRightInd w:val="0"/>
              <w:snapToGrid/>
              <w:spacing w:line="380" w:lineRule="exact"/>
              <w:ind w:firstLine="562"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多元汇聚，模范作用强。</w:t>
            </w:r>
            <w:r>
              <w:rPr>
                <w:rFonts w:hint="eastAsia" w:ascii="Times New Roman" w:hAnsi="Times New Roman" w:eastAsia="仿宋_GB2312"/>
                <w:kern w:val="18"/>
                <w:sz w:val="28"/>
                <w:szCs w:val="28"/>
              </w:rPr>
              <w:t>支部邀请优秀志愿者进行经验分享，共同学习进步。</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10余名同学获评三好学生，优秀团员等荣誉称号。一名同学作为学生代表参加俞敏洪、邓亚萍主讲开学第1课深入学习。张清爽作为学生代表参与北京理工大学等七校学生组织交流共建分享会分享宝贵经验。</w:t>
            </w:r>
          </w:p>
          <w:p>
            <w:pPr>
              <w:keepNext w:val="0"/>
              <w:keepLines w:val="0"/>
              <w:pageBreakBefore w:val="0"/>
              <w:widowControl w:val="0"/>
              <w:kinsoku/>
              <w:wordWrap/>
              <w:overflowPunct/>
              <w:topLinePunct w:val="0"/>
              <w:autoSpaceDE/>
              <w:autoSpaceDN/>
              <w:bidi w:val="0"/>
              <w:adjustRightInd w:val="0"/>
              <w:snapToGrid/>
              <w:spacing w:line="380" w:lineRule="exact"/>
              <w:ind w:firstLine="562"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牢筑信念，媒体融合强</w:t>
            </w:r>
            <w:r>
              <w:rPr>
                <w:rFonts w:hint="eastAsia" w:ascii="Times New Roman" w:hAnsi="Times New Roman" w:eastAsia="仿宋_GB2312"/>
                <w:b/>
                <w:bCs/>
                <w:kern w:val="18"/>
                <w:sz w:val="28"/>
                <w:szCs w:val="28"/>
                <w:lang w:eastAsia="zh-CN"/>
              </w:rPr>
              <w:t>。</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创建公众号奋进年韵，累计发布推送112篇，浏览量超4万次。</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同学多次获征文比赛团课等荣誉6项，班长张清爽作为学校唯一学生代表参加湖南教育电视台节目录制，节目浏览量10万+，多次参与校长下午茶，与校长面对面交流。</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淬炼薪火，立青云志——打造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锐意进取“加油站”</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val="en-US" w:eastAsia="zh-CN"/>
              </w:rPr>
              <w:t>支部</w:t>
            </w:r>
            <w:r>
              <w:rPr>
                <w:rFonts w:hint="eastAsia" w:ascii="Times New Roman" w:hAnsi="Times New Roman" w:eastAsia="仿宋_GB2312"/>
                <w:kern w:val="18"/>
                <w:sz w:val="28"/>
                <w:szCs w:val="28"/>
              </w:rPr>
              <w:t>同学成绩优异，大二学年综合测评前5名</w:t>
            </w:r>
            <w:r>
              <w:rPr>
                <w:rFonts w:hint="eastAsia" w:ascii="Times New Roman" w:hAnsi="Times New Roman" w:eastAsia="仿宋_GB2312"/>
                <w:kern w:val="18"/>
                <w:sz w:val="28"/>
                <w:szCs w:val="28"/>
                <w:lang w:val="en-US" w:eastAsia="zh-CN"/>
              </w:rPr>
              <w:t>我</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占三名，前15名</w:t>
            </w:r>
            <w:r>
              <w:rPr>
                <w:rFonts w:hint="eastAsia" w:ascii="Times New Roman" w:hAnsi="Times New Roman" w:eastAsia="仿宋_GB2312"/>
                <w:kern w:val="18"/>
                <w:sz w:val="28"/>
                <w:szCs w:val="28"/>
                <w:lang w:val="en-US" w:eastAsia="zh-CN"/>
              </w:rPr>
              <w:t>我</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占7名。两名同学智育成绩达117分，绩点4以上两人，3.7以上6人。</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举办导师见面会10余次，为同学答疑解惑。</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打造学霸小讲堂，以优促强，学习互助。苏奕静同学辅修英语专业，通过英语专四考试。</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获得奖助学金全面覆盖国奖国励志、企奖等多个奖项。黄洋、苏奕静同学参加的互联网+项目作为全校唯一入选国赛的能源类项目，正在向国家级金奖发起冲击。苏奕静同学入选全校仅5个名额的大学生访日项目，将于11月底同清北等高校的同学一同前往日本访问游学。</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累计获得各类奖项41项，其中国家级奖项13项，省部级奖项16项，立志成长为能源领域国际化复合型人才。</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永葆薪火，践身体行——打造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文体风采“分输站”</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同学累计获得校院两级体育类奖项30余项。联合多个</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举行二十大创意长跑、运动打卡活动。两年来累计运动时长超5万小时。</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崔哲源同学投身军旅，收获诸多荣誉，多位同学在首都高校棒垒球赛、校园篮球赛展现风采，李子祎多次参加北京市硬笔书法比赛、各大高校文艺表演。宋楠同学为番茄平台签约作家，连载小说近10万字。</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凝聚薪火，追赤子心——打造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志愿实践“储配站”</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弘扬奉献精神，做实干奋斗的奉献者。吉宗作为00后志愿者连续122天坚守志愿者岗位，获得拉萨市优秀志愿者等荣誉称号。张新运同学在校期间累计参加志愿项目72 项，志愿时长达1001.5 个小时，位列专业第一。荣获“十佳十强大学生”和“十佳志愿者”称号。</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做服务社会的报国者，</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同学参加北京半程马拉松、服贸会、中超联赛、世界地热大会等国家重大保障活动，荣获多项优秀志愿者称号。累计参加志愿项目达699项，累计志愿时长6477小时，平均志愿时长达203小时。</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厚植爱国情怀，做知行合一的实践者。</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全员参与社会实践项目三十余项，组建11支队伍，奔赴全国30多个省市，入选国家级项目1项，北京市级项目4项，校级项目8项。</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其中云果公益实践团获首都高校师生服务乡村振兴行动计划一等奖，北京市第4名，北京市优秀团队等多个奖项。践行互信精神，打造红旅IP团队。获首都高校师生服务乡村振兴计划三等奖，校暑期社会实践一等奖。</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各项社会实践活动获中国青年网，人民日报，新华网等37家主流媒体报道，累计浏览量超80万次。</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ascii="Times New Roman" w:hAnsi="Times New Roman" w:eastAsia="仿宋_GB2312"/>
                <w:kern w:val="18"/>
                <w:sz w:val="28"/>
              </w:rPr>
            </w:pPr>
            <w:r>
              <w:rPr>
                <w:rFonts w:hint="eastAsia" w:ascii="Times New Roman" w:hAnsi="Times New Roman" w:eastAsia="仿宋_GB2312"/>
                <w:kern w:val="18"/>
                <w:sz w:val="28"/>
                <w:szCs w:val="28"/>
              </w:rPr>
              <w:t>纵有千古，横有八荒。前途似海，来日方长。储运21-2班赓续爱国奉献的薪火，以坚定的信念、无畏的担当，挺起能源报国的脊梁，在实现民族复兴的宏伟征途中继续奏响壮美的青春乐章！</w:t>
            </w:r>
          </w:p>
        </w:tc>
      </w:tr>
    </w:tbl>
    <w:p>
      <w:pPr>
        <w:rPr>
          <w:sz w:val="21"/>
        </w:rPr>
      </w:pP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0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doNotDisplayPageBoundaries w:val="1"/>
  <w:embedSystemFonts/>
  <w:bordersDoNotSurroundHeader w:val="1"/>
  <w:bordersDoNotSurroundFooter w:val="1"/>
  <w:documentProtection w:enforcement="0"/>
  <w:defaultTabStop w:val="420"/>
  <w:drawingGridHorizontalSpacing w:val="1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EBE8F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4"/>
      <w:szCs w:val="24"/>
      <w:lang w:val="en-US" w:eastAsia="zh-CN" w:bidi="ar-SA"/>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link w:val="12"/>
    <w:qFormat/>
    <w:uiPriority w:val="1"/>
    <w:pPr>
      <w:autoSpaceDE w:val="0"/>
      <w:autoSpaceDN w:val="0"/>
      <w:jc w:val="left"/>
    </w:pPr>
    <w:rPr>
      <w:rFonts w:ascii="宋体" w:hAnsi="宋体" w:eastAsia="宋体" w:cs="宋体"/>
      <w:kern w:val="0"/>
      <w:sz w:val="32"/>
      <w:szCs w:val="32"/>
      <w:lang w:val="zh-CN" w:bidi="zh-CN"/>
    </w:rPr>
  </w:style>
  <w:style w:type="paragraph" w:styleId="3">
    <w:name w:val="Balloon Text"/>
    <w:basedOn w:val="1"/>
    <w:link w:val="9"/>
    <w:qFormat/>
    <w:uiPriority w:val="0"/>
    <w:rPr>
      <w:rFonts w:ascii="宋体" w:eastAsia="宋体"/>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rPr>
  </w:style>
  <w:style w:type="character" w:customStyle="1" w:styleId="9">
    <w:name w:val="批注框文本 字符"/>
    <w:basedOn w:val="8"/>
    <w:link w:val="3"/>
    <w:qFormat/>
    <w:uiPriority w:val="0"/>
    <w:rPr>
      <w:rFonts w:ascii="宋体" w:hAnsi="Calibri" w:cs="宋体"/>
      <w:kern w:val="2"/>
      <w:sz w:val="18"/>
      <w:szCs w:val="18"/>
    </w:rPr>
  </w:style>
  <w:style w:type="character" w:customStyle="1" w:styleId="10">
    <w:name w:val="页眉 字符"/>
    <w:basedOn w:val="8"/>
    <w:link w:val="5"/>
    <w:qFormat/>
    <w:uiPriority w:val="0"/>
    <w:rPr>
      <w:rFonts w:ascii="Calibri" w:hAnsi="Calibri" w:eastAsia="宋体" w:cs="宋体"/>
      <w:kern w:val="2"/>
      <w:sz w:val="18"/>
      <w:szCs w:val="18"/>
    </w:rPr>
  </w:style>
  <w:style w:type="character" w:customStyle="1" w:styleId="11">
    <w:name w:val="页脚 字符"/>
    <w:basedOn w:val="8"/>
    <w:link w:val="4"/>
    <w:qFormat/>
    <w:uiPriority w:val="0"/>
    <w:rPr>
      <w:rFonts w:ascii="Calibri" w:hAnsi="Calibri" w:eastAsia="宋体" w:cs="宋体"/>
      <w:kern w:val="2"/>
      <w:sz w:val="18"/>
      <w:szCs w:val="18"/>
    </w:rPr>
  </w:style>
  <w:style w:type="character" w:customStyle="1" w:styleId="12">
    <w:name w:val="正文文本 字符"/>
    <w:basedOn w:val="8"/>
    <w:link w:val="2"/>
    <w:qFormat/>
    <w:uiPriority w:val="1"/>
    <w:rPr>
      <w:rFonts w:ascii="宋体" w:hAnsi="宋体" w:cs="宋体"/>
      <w:sz w:val="32"/>
      <w:szCs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1875</Words>
  <Characters>1990</Characters>
  <Paragraphs>112</Paragraphs>
  <TotalTime>1</TotalTime>
  <ScaleCrop>false</ScaleCrop>
  <LinksUpToDate>false</LinksUpToDate>
  <CharactersWithSpaces>1995</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2020-11-06T03:10:00Z</dcterms:created>
  <dc:creator>bai</dc:creator>
  <cp:lastModifiedBy>高雪</cp:lastModifiedBy>
  <cp:lastPrinted>2020-10-27T18:13:00Z</cp:lastPrinted>
  <dcterms:modified xsi:type="dcterms:W3CDTF">2023-11-07T19:55:17Z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BCDE4E0CDE02732DA5254A65AE67970C_43</vt:lpwstr>
  </property>
</Properties>
</file>