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1B7CFA" w14:textId="77777777" w:rsidR="002A79AE" w:rsidRDefault="00000000">
      <w:pPr>
        <w:spacing w:after="0" w:line="640" w:lineRule="exact"/>
        <w:jc w:val="center"/>
        <w:rPr>
          <w:rFonts w:ascii="Times New Roman" w:eastAsia="方正小标宋简体" w:hAnsi="Times New Roman"/>
          <w:snapToGrid w:val="0"/>
          <w:sz w:val="44"/>
          <w:szCs w:val="44"/>
          <w14:ligatures w14:val="none"/>
        </w:rPr>
      </w:pPr>
      <w:r>
        <w:rPr>
          <w:rFonts w:ascii="Times New Roman" w:eastAsia="方正小标宋简体" w:hAnsi="Times New Roman" w:hint="eastAsia"/>
          <w:snapToGrid w:val="0"/>
          <w:sz w:val="44"/>
          <w:szCs w:val="44"/>
          <w14:ligatures w14:val="none"/>
        </w:rPr>
        <w:t>中国石油大学（北京）</w:t>
      </w:r>
    </w:p>
    <w:p w14:paraId="2B9643EF" w14:textId="77777777" w:rsidR="002A79AE" w:rsidRDefault="00000000">
      <w:pPr>
        <w:spacing w:after="0" w:line="640" w:lineRule="exact"/>
        <w:jc w:val="center"/>
        <w:rPr>
          <w:rFonts w:ascii="Times New Roman" w:eastAsia="方正小标宋简体" w:hAnsi="Times New Roman"/>
          <w:snapToGrid w:val="0"/>
          <w:sz w:val="44"/>
          <w:szCs w:val="44"/>
          <w14:ligatures w14:val="none"/>
        </w:rPr>
      </w:pPr>
      <w:r>
        <w:rPr>
          <w:rFonts w:ascii="Times New Roman" w:eastAsia="方正小标宋简体" w:hAnsi="Times New Roman" w:hint="eastAsia"/>
          <w:snapToGrid w:val="0"/>
          <w:sz w:val="44"/>
          <w:szCs w:val="44"/>
          <w14:ligatures w14:val="none"/>
        </w:rPr>
        <w:t>团委新闻宣传工作考核办法</w:t>
      </w:r>
    </w:p>
    <w:p w14:paraId="3EB8FBBF" w14:textId="36BA4ED0" w:rsidR="002A79AE" w:rsidRDefault="00000000">
      <w:pPr>
        <w:spacing w:afterLines="50" w:after="156" w:line="640" w:lineRule="exact"/>
        <w:jc w:val="center"/>
        <w:rPr>
          <w:rFonts w:ascii="楷体_GB2312" w:eastAsia="楷体_GB2312" w:hAnsi="楷体_GB2312" w:cs="楷体_GB2312" w:hint="eastAsia"/>
          <w:snapToGrid w:val="0"/>
          <w:sz w:val="32"/>
          <w:szCs w:val="32"/>
          <w14:ligatures w14:val="none"/>
        </w:rPr>
      </w:pPr>
      <w:r>
        <w:rPr>
          <w:rFonts w:ascii="楷体_GB2312" w:eastAsia="楷体_GB2312" w:hAnsi="楷体_GB2312" w:cs="楷体_GB2312" w:hint="eastAsia"/>
          <w:b/>
          <w:bCs/>
          <w:snapToGrid w:val="0"/>
          <w:sz w:val="32"/>
          <w:szCs w:val="32"/>
          <w14:ligatures w14:val="none"/>
        </w:rPr>
        <w:t>（</w:t>
      </w:r>
      <w:r w:rsidR="00050854">
        <w:rPr>
          <w:rFonts w:ascii="楷体_GB2312" w:eastAsia="楷体_GB2312" w:hAnsi="楷体_GB2312" w:cs="楷体_GB2312" w:hint="eastAsia"/>
          <w:b/>
          <w:bCs/>
          <w:snapToGrid w:val="0"/>
          <w:sz w:val="32"/>
          <w:szCs w:val="32"/>
          <w14:ligatures w14:val="none"/>
        </w:rPr>
        <w:t>试行</w:t>
      </w:r>
      <w:r>
        <w:rPr>
          <w:rFonts w:ascii="楷体_GB2312" w:eastAsia="楷体_GB2312" w:hAnsi="楷体_GB2312" w:cs="楷体_GB2312" w:hint="eastAsia"/>
          <w:b/>
          <w:bCs/>
          <w:snapToGrid w:val="0"/>
          <w:sz w:val="32"/>
          <w:szCs w:val="32"/>
          <w14:ligatures w14:val="none"/>
        </w:rPr>
        <w:t>）</w:t>
      </w:r>
    </w:p>
    <w:p w14:paraId="599E92A5" w14:textId="77777777" w:rsidR="002A79AE" w:rsidRDefault="00000000">
      <w:pPr>
        <w:widowControl/>
        <w:adjustRightInd w:val="0"/>
        <w:snapToGrid w:val="0"/>
        <w:spacing w:after="0" w:line="560" w:lineRule="exact"/>
        <w:ind w:firstLineChars="200" w:firstLine="640"/>
        <w:jc w:val="both"/>
        <w:rPr>
          <w:rFonts w:ascii="Times New Roman" w:eastAsia="仿宋_GB2312" w:hAnsi="Times New Roman" w:cs="仿宋"/>
          <w:kern w:val="0"/>
          <w:sz w:val="32"/>
          <w:szCs w:val="32"/>
          <w:lang w:eastAsia="zh-TW"/>
          <w14:ligatures w14:val="none"/>
        </w:rPr>
      </w:pPr>
      <w:r>
        <w:rPr>
          <w:rFonts w:ascii="Times New Roman" w:eastAsia="仿宋_GB2312" w:hAnsi="Times New Roman" w:cs="仿宋" w:hint="eastAsia"/>
          <w:kern w:val="0"/>
          <w:sz w:val="32"/>
          <w:szCs w:val="32"/>
          <w:lang w:eastAsia="zh-TW"/>
          <w14:ligatures w14:val="none"/>
        </w:rPr>
        <w:t>为深入学习贯彻习近平新时代中国特色社会主义思想，落实高校思想政治工作和新闻宣传工作要求，强化团委新闻宣传阵地建设，提升宣传工作质量和育人成效，打造具有</w:t>
      </w:r>
      <w:r>
        <w:rPr>
          <w:rFonts w:ascii="Times New Roman" w:eastAsia="仿宋_GB2312" w:hAnsi="Times New Roman" w:cs="仿宋" w:hint="eastAsia"/>
          <w:kern w:val="0"/>
          <w:sz w:val="32"/>
          <w:szCs w:val="32"/>
          <w14:ligatures w14:val="none"/>
        </w:rPr>
        <w:t>中石大</w:t>
      </w:r>
      <w:r>
        <w:rPr>
          <w:rFonts w:ascii="Times New Roman" w:eastAsia="仿宋_GB2312" w:hAnsi="Times New Roman" w:cs="仿宋" w:hint="eastAsia"/>
          <w:kern w:val="0"/>
          <w:sz w:val="32"/>
          <w:szCs w:val="32"/>
          <w:lang w:eastAsia="zh-TW"/>
          <w14:ligatures w14:val="none"/>
        </w:rPr>
        <w:t>特色的校园宣传品牌，依据《中国石油大学（北京）学生社团管理办法》等相关规定，结合学校新闻宣传工作实际，制定本办法。</w:t>
      </w:r>
    </w:p>
    <w:p w14:paraId="336CAFFD" w14:textId="77777777" w:rsidR="002A79AE" w:rsidRDefault="00000000">
      <w:pPr>
        <w:spacing w:after="0" w:line="640" w:lineRule="exact"/>
        <w:jc w:val="center"/>
        <w:rPr>
          <w:rFonts w:ascii="黑体" w:eastAsia="黑体" w:hAnsi="黑体" w:cs="黑体" w:hint="eastAsia"/>
          <w:color w:val="000000" w:themeColor="text1"/>
          <w:sz w:val="32"/>
          <w:szCs w:val="40"/>
          <w:lang w:eastAsia="zh-TW"/>
          <w14:ligatures w14:val="none"/>
        </w:rPr>
      </w:pPr>
      <w:r>
        <w:rPr>
          <w:rFonts w:ascii="黑体" w:eastAsia="黑体" w:hAnsi="黑体" w:cs="黑体" w:hint="eastAsia"/>
          <w:color w:val="000000" w:themeColor="text1"/>
          <w:sz w:val="32"/>
          <w:szCs w:val="40"/>
          <w:lang w:eastAsia="zh-TW"/>
          <w14:ligatures w14:val="none"/>
        </w:rPr>
        <w:t>第一章</w:t>
      </w:r>
      <w:r>
        <w:rPr>
          <w:rFonts w:ascii="黑体" w:eastAsia="黑体" w:hAnsi="黑体" w:cs="黑体" w:hint="eastAsia"/>
          <w:color w:val="000000" w:themeColor="text1"/>
          <w:sz w:val="32"/>
          <w:szCs w:val="40"/>
          <w14:ligatures w14:val="none"/>
        </w:rPr>
        <w:t xml:space="preserve"> </w:t>
      </w:r>
      <w:r>
        <w:rPr>
          <w:rFonts w:ascii="黑体" w:eastAsia="黑体" w:hAnsi="黑体" w:cs="黑体" w:hint="eastAsia"/>
          <w:color w:val="000000" w:themeColor="text1"/>
          <w:sz w:val="32"/>
          <w:szCs w:val="40"/>
          <w:lang w:eastAsia="zh-TW"/>
          <w14:ligatures w14:val="none"/>
        </w:rPr>
        <w:t>总</w:t>
      </w:r>
      <w:r>
        <w:rPr>
          <w:rFonts w:ascii="黑体" w:eastAsia="黑体" w:hAnsi="黑体" w:cs="黑体" w:hint="eastAsia"/>
          <w:color w:val="000000" w:themeColor="text1"/>
          <w:sz w:val="32"/>
          <w:szCs w:val="40"/>
          <w14:ligatures w14:val="none"/>
        </w:rPr>
        <w:t xml:space="preserve"> </w:t>
      </w:r>
      <w:r>
        <w:rPr>
          <w:rFonts w:ascii="黑体" w:eastAsia="黑体" w:hAnsi="黑体" w:cs="黑体" w:hint="eastAsia"/>
          <w:color w:val="000000" w:themeColor="text1"/>
          <w:sz w:val="32"/>
          <w:szCs w:val="40"/>
          <w:lang w:eastAsia="zh-TW"/>
          <w14:ligatures w14:val="none"/>
        </w:rPr>
        <w:t>则</w:t>
      </w:r>
    </w:p>
    <w:p w14:paraId="6BA853E6" w14:textId="77777777" w:rsidR="002A79AE" w:rsidRDefault="00000000">
      <w:pPr>
        <w:spacing w:after="0" w:line="560" w:lineRule="exact"/>
        <w:ind w:firstLineChars="200" w:firstLine="640"/>
        <w:jc w:val="both"/>
        <w:rPr>
          <w:rFonts w:ascii="黑体" w:eastAsia="黑体" w:hAnsi="黑体" w:cs="黑体" w:hint="eastAsia"/>
          <w:color w:val="000000" w:themeColor="text1"/>
          <w:sz w:val="32"/>
          <w:szCs w:val="40"/>
          <w14:ligatures w14:val="none"/>
        </w:rPr>
      </w:pPr>
      <w:r>
        <w:rPr>
          <w:rFonts w:ascii="黑体" w:eastAsia="黑体" w:hAnsi="黑体" w:cs="黑体" w:hint="eastAsia"/>
          <w:color w:val="000000" w:themeColor="text1"/>
          <w:sz w:val="32"/>
          <w:szCs w:val="40"/>
          <w14:ligatures w14:val="none"/>
        </w:rPr>
        <w:t>第一条 考核目的</w:t>
      </w:r>
    </w:p>
    <w:p w14:paraId="33A79A56" w14:textId="77777777" w:rsidR="002A79AE" w:rsidRDefault="00000000">
      <w:pPr>
        <w:spacing w:after="0" w:line="560" w:lineRule="exact"/>
        <w:ind w:firstLineChars="200" w:firstLine="640"/>
        <w:jc w:val="both"/>
        <w:rPr>
          <w:rFonts w:ascii="仿宋_GB2312" w:eastAsia="仿宋_GB2312" w:hAnsi="仿宋_GB2312" w:cs="仿宋_GB2312" w:hint="eastAsia"/>
          <w:color w:val="000000" w:themeColor="text1"/>
          <w:sz w:val="32"/>
          <w:szCs w:val="40"/>
          <w14:ligatures w14:val="none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40"/>
          <w14:ligatures w14:val="none"/>
        </w:rPr>
        <w:t>以考核促建设、以评价促提升，规范团委新闻宣传工作流程，夯实宣传队伍建设基础，提升新闻宣传的思想引领力、内容传播力和品牌影响力，推动团委新闻宣传工作科学化、规范化、品牌化发展，为学校人才培养和校园文化建设提供舆论支撑。</w:t>
      </w:r>
    </w:p>
    <w:p w14:paraId="3FD8B1C7" w14:textId="77777777" w:rsidR="002A79AE" w:rsidRDefault="00000000">
      <w:pPr>
        <w:spacing w:after="0" w:line="560" w:lineRule="exact"/>
        <w:ind w:firstLineChars="200" w:firstLine="640"/>
        <w:jc w:val="both"/>
        <w:rPr>
          <w:rFonts w:ascii="黑体" w:eastAsia="黑体" w:hAnsi="黑体" w:cs="黑体" w:hint="eastAsia"/>
          <w:color w:val="000000" w:themeColor="text1"/>
          <w:sz w:val="32"/>
          <w:szCs w:val="40"/>
          <w14:ligatures w14:val="none"/>
        </w:rPr>
      </w:pPr>
      <w:r>
        <w:rPr>
          <w:rFonts w:ascii="黑体" w:eastAsia="黑体" w:hAnsi="黑体" w:cs="黑体" w:hint="eastAsia"/>
          <w:color w:val="000000" w:themeColor="text1"/>
          <w:sz w:val="32"/>
          <w:szCs w:val="40"/>
          <w14:ligatures w14:val="none"/>
        </w:rPr>
        <w:t>第二条 考核适用范围</w:t>
      </w:r>
    </w:p>
    <w:p w14:paraId="772905A4" w14:textId="77777777" w:rsidR="002A79AE" w:rsidRDefault="00000000">
      <w:pPr>
        <w:spacing w:after="0" w:line="560" w:lineRule="exact"/>
        <w:ind w:firstLineChars="200" w:firstLine="640"/>
        <w:jc w:val="both"/>
        <w:rPr>
          <w:rFonts w:ascii="仿宋_GB2312" w:eastAsia="仿宋_GB2312" w:hAnsi="仿宋_GB2312" w:cs="仿宋_GB2312" w:hint="eastAsia"/>
          <w:color w:val="000000" w:themeColor="text1"/>
          <w:sz w:val="32"/>
          <w:szCs w:val="40"/>
          <w14:ligatures w14:val="none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40"/>
          <w14:ligatures w14:val="none"/>
        </w:rPr>
        <w:t>本办法适用于全校院级新闻中心类社团（以下统称“新闻中心”）的年度考核评价工作，考核对象为各组织的整体运行及骨干成员履职情况。</w:t>
      </w:r>
    </w:p>
    <w:p w14:paraId="7BCA696C" w14:textId="77777777" w:rsidR="002A79AE" w:rsidRDefault="00000000">
      <w:pPr>
        <w:spacing w:after="0" w:line="560" w:lineRule="exact"/>
        <w:ind w:firstLineChars="200" w:firstLine="640"/>
        <w:jc w:val="both"/>
        <w:rPr>
          <w:rFonts w:ascii="黑体" w:eastAsia="黑体" w:hAnsi="黑体" w:cs="黑体" w:hint="eastAsia"/>
          <w:color w:val="000000" w:themeColor="text1"/>
          <w:sz w:val="32"/>
          <w:szCs w:val="40"/>
          <w14:ligatures w14:val="none"/>
        </w:rPr>
      </w:pPr>
      <w:r>
        <w:rPr>
          <w:rFonts w:ascii="黑体" w:eastAsia="黑体" w:hAnsi="黑体" w:cs="黑体" w:hint="eastAsia"/>
          <w:color w:val="000000" w:themeColor="text1"/>
          <w:sz w:val="32"/>
          <w:szCs w:val="40"/>
          <w14:ligatures w14:val="none"/>
        </w:rPr>
        <w:t>第三条 考核工作原则</w:t>
      </w:r>
    </w:p>
    <w:p w14:paraId="1F3B5663" w14:textId="77777777" w:rsidR="002A79AE" w:rsidRDefault="00000000">
      <w:pPr>
        <w:spacing w:after="0" w:line="560" w:lineRule="exact"/>
        <w:ind w:firstLineChars="200" w:firstLine="643"/>
        <w:jc w:val="both"/>
        <w:rPr>
          <w:rFonts w:ascii="仿宋_GB2312" w:eastAsia="仿宋_GB2312" w:hAnsi="仿宋_GB2312" w:cs="仿宋_GB2312" w:hint="eastAsia"/>
          <w:color w:val="000000" w:themeColor="text1"/>
          <w:sz w:val="32"/>
          <w:szCs w:val="40"/>
          <w14:ligatures w14:val="none"/>
        </w:rPr>
      </w:pP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32"/>
          <w:szCs w:val="40"/>
          <w14:ligatures w14:val="none"/>
        </w:rPr>
        <w:t>立德树人，思想引领：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40"/>
          <w14:ligatures w14:val="none"/>
        </w:rPr>
        <w:t>坚持把思想政治引领贯穿新闻宣传工作全过程，弘扬主旋律、传播正能量，突出石油行业特色和学校办学特点。</w:t>
      </w:r>
    </w:p>
    <w:p w14:paraId="426DDB12" w14:textId="77777777" w:rsidR="002A79AE" w:rsidRDefault="00000000">
      <w:pPr>
        <w:spacing w:after="0" w:line="560" w:lineRule="exact"/>
        <w:ind w:firstLineChars="200" w:firstLine="643"/>
        <w:jc w:val="both"/>
        <w:rPr>
          <w:rFonts w:ascii="仿宋_GB2312" w:eastAsia="仿宋_GB2312" w:hAnsi="仿宋_GB2312" w:cs="仿宋_GB2312" w:hint="eastAsia"/>
          <w:color w:val="000000" w:themeColor="text1"/>
          <w:sz w:val="32"/>
          <w:szCs w:val="40"/>
          <w14:ligatures w14:val="none"/>
        </w:rPr>
      </w:pP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32"/>
          <w:szCs w:val="40"/>
          <w14:ligatures w14:val="none"/>
        </w:rPr>
        <w:lastRenderedPageBreak/>
        <w:t>公平公正，注重实效：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40"/>
          <w14:ligatures w14:val="none"/>
        </w:rPr>
        <w:t>采用定量与定性相结合、过程与结果并重的评价方式，以实际工作成效为核心考核依据，不唯材料、不唯数量。</w:t>
      </w:r>
    </w:p>
    <w:p w14:paraId="0B7A29D8" w14:textId="77777777" w:rsidR="002A79AE" w:rsidRDefault="00000000">
      <w:pPr>
        <w:spacing w:after="0" w:line="560" w:lineRule="exact"/>
        <w:ind w:firstLineChars="200" w:firstLine="643"/>
        <w:jc w:val="both"/>
        <w:rPr>
          <w:rFonts w:ascii="仿宋_GB2312" w:eastAsia="仿宋_GB2312" w:hAnsi="仿宋_GB2312" w:cs="仿宋_GB2312" w:hint="eastAsia"/>
          <w:color w:val="000000" w:themeColor="text1"/>
          <w:sz w:val="32"/>
          <w:szCs w:val="40"/>
          <w14:ligatures w14:val="none"/>
        </w:rPr>
      </w:pP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32"/>
          <w:szCs w:val="40"/>
          <w14:ligatures w14:val="none"/>
        </w:rPr>
        <w:t>分类评价，特色发展：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40"/>
          <w14:ligatures w14:val="none"/>
        </w:rPr>
        <w:t>兼顾各学院学科特色和宣传工作基础，鼓励打造具有学院辨识度的宣传品牌，避免同质化评价。</w:t>
      </w:r>
    </w:p>
    <w:p w14:paraId="68A3F0F3" w14:textId="77777777" w:rsidR="002A79AE" w:rsidRDefault="00000000">
      <w:pPr>
        <w:spacing w:after="0" w:line="560" w:lineRule="exact"/>
        <w:ind w:firstLineChars="200" w:firstLine="643"/>
        <w:jc w:val="both"/>
        <w:rPr>
          <w:rFonts w:ascii="仿宋_GB2312" w:eastAsia="仿宋_GB2312" w:hAnsi="仿宋_GB2312" w:cs="仿宋_GB2312" w:hint="eastAsia"/>
          <w:color w:val="000000" w:themeColor="text1"/>
          <w:sz w:val="32"/>
          <w:szCs w:val="40"/>
          <w14:ligatures w14:val="none"/>
        </w:rPr>
      </w:pP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32"/>
          <w:szCs w:val="40"/>
          <w14:ligatures w14:val="none"/>
        </w:rPr>
        <w:t>育人为本，协同提升：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40"/>
          <w14:ligatures w14:val="none"/>
        </w:rPr>
        <w:t>将宣传队伍综合素质培养纳入考核，推动宣传工作能力与学生综合能力协同发展，发挥实践育人作用。</w:t>
      </w:r>
    </w:p>
    <w:p w14:paraId="745F7DEE" w14:textId="77777777" w:rsidR="002A79AE" w:rsidRDefault="00000000">
      <w:pPr>
        <w:spacing w:after="0" w:line="560" w:lineRule="exact"/>
        <w:ind w:firstLineChars="200" w:firstLine="640"/>
        <w:jc w:val="both"/>
        <w:rPr>
          <w:rFonts w:ascii="黑体" w:eastAsia="黑体" w:hAnsi="黑体" w:cs="黑体" w:hint="eastAsia"/>
          <w:color w:val="000000" w:themeColor="text1"/>
          <w:sz w:val="32"/>
          <w:szCs w:val="40"/>
          <w14:ligatures w14:val="none"/>
        </w:rPr>
      </w:pPr>
      <w:r>
        <w:rPr>
          <w:rFonts w:ascii="黑体" w:eastAsia="黑体" w:hAnsi="黑体" w:cs="黑体" w:hint="eastAsia"/>
          <w:color w:val="000000" w:themeColor="text1"/>
          <w:sz w:val="32"/>
          <w:szCs w:val="40"/>
          <w14:ligatures w14:val="none"/>
        </w:rPr>
        <w:t>第四条 考核组织实施</w:t>
      </w:r>
    </w:p>
    <w:p w14:paraId="0E6F03A2" w14:textId="77777777" w:rsidR="002A79AE" w:rsidRDefault="00000000">
      <w:pPr>
        <w:spacing w:after="0" w:line="560" w:lineRule="exact"/>
        <w:ind w:firstLineChars="200" w:firstLine="640"/>
        <w:jc w:val="both"/>
        <w:rPr>
          <w:rFonts w:ascii="仿宋_GB2312" w:eastAsia="仿宋_GB2312" w:hAnsi="仿宋_GB2312" w:cs="仿宋_GB2312" w:hint="eastAsia"/>
          <w:color w:val="000000" w:themeColor="text1"/>
          <w:sz w:val="32"/>
          <w:szCs w:val="40"/>
          <w14:ligatures w14:val="none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40"/>
          <w14:ligatures w14:val="none"/>
        </w:rPr>
        <w:t>考核工作在学校党委领导下，由校团委指导，校团委宣传部牵头，一般于每学年末启动，考核周期覆盖整个学年。</w:t>
      </w:r>
    </w:p>
    <w:p w14:paraId="53EB0E2E" w14:textId="77777777" w:rsidR="002A79AE" w:rsidRDefault="00000000">
      <w:pPr>
        <w:spacing w:after="0" w:line="640" w:lineRule="exact"/>
        <w:jc w:val="center"/>
        <w:rPr>
          <w:rFonts w:ascii="黑体" w:eastAsia="黑体" w:hAnsi="黑体" w:cs="黑体" w:hint="eastAsia"/>
          <w:color w:val="000000" w:themeColor="text1"/>
          <w:sz w:val="32"/>
          <w:szCs w:val="40"/>
          <w:lang w:eastAsia="zh-TW"/>
          <w14:ligatures w14:val="none"/>
        </w:rPr>
      </w:pPr>
      <w:r>
        <w:rPr>
          <w:rFonts w:ascii="黑体" w:eastAsia="黑体" w:hAnsi="黑体" w:cs="黑体" w:hint="eastAsia"/>
          <w:color w:val="000000" w:themeColor="text1"/>
          <w:sz w:val="32"/>
          <w:szCs w:val="40"/>
          <w:lang w:eastAsia="zh-TW"/>
          <w14:ligatures w14:val="none"/>
        </w:rPr>
        <w:t>第二章</w:t>
      </w:r>
      <w:r>
        <w:rPr>
          <w:rFonts w:ascii="黑体" w:eastAsia="黑体" w:hAnsi="黑体" w:cs="黑体" w:hint="eastAsia"/>
          <w:color w:val="000000" w:themeColor="text1"/>
          <w:sz w:val="32"/>
          <w:szCs w:val="40"/>
          <w14:ligatures w14:val="none"/>
        </w:rPr>
        <w:t xml:space="preserve"> </w:t>
      </w:r>
      <w:r>
        <w:rPr>
          <w:rFonts w:ascii="黑体" w:eastAsia="黑体" w:hAnsi="黑体" w:cs="黑体" w:hint="eastAsia"/>
          <w:color w:val="000000" w:themeColor="text1"/>
          <w:sz w:val="32"/>
          <w:szCs w:val="40"/>
          <w:lang w:eastAsia="zh-TW"/>
          <w14:ligatures w14:val="none"/>
        </w:rPr>
        <w:t>考核方式和内容</w:t>
      </w:r>
    </w:p>
    <w:p w14:paraId="7B8BDA9E" w14:textId="77777777" w:rsidR="002A79AE" w:rsidRDefault="00000000">
      <w:pPr>
        <w:spacing w:after="0" w:line="560" w:lineRule="exact"/>
        <w:ind w:firstLineChars="200" w:firstLine="640"/>
        <w:jc w:val="both"/>
        <w:rPr>
          <w:rFonts w:ascii="黑体" w:eastAsia="黑体" w:hAnsi="黑体" w:cs="黑体" w:hint="eastAsia"/>
          <w:color w:val="000000" w:themeColor="text1"/>
          <w:sz w:val="32"/>
          <w:szCs w:val="40"/>
          <w14:ligatures w14:val="none"/>
        </w:rPr>
      </w:pPr>
      <w:r>
        <w:rPr>
          <w:rFonts w:ascii="黑体" w:eastAsia="黑体" w:hAnsi="黑体" w:cs="黑体" w:hint="eastAsia"/>
          <w:color w:val="000000" w:themeColor="text1"/>
          <w:sz w:val="32"/>
          <w:szCs w:val="40"/>
          <w14:ligatures w14:val="none"/>
        </w:rPr>
        <w:t>第五条 考核综合评分构成</w:t>
      </w:r>
    </w:p>
    <w:p w14:paraId="3F4ECC6B" w14:textId="77777777" w:rsidR="002A79AE" w:rsidRDefault="00000000">
      <w:pPr>
        <w:spacing w:after="0" w:line="560" w:lineRule="exact"/>
        <w:ind w:firstLineChars="200" w:firstLine="640"/>
        <w:jc w:val="both"/>
        <w:rPr>
          <w:rFonts w:ascii="仿宋_GB2312" w:eastAsia="仿宋_GB2312" w:hAnsi="仿宋_GB2312" w:cs="仿宋_GB2312" w:hint="eastAsia"/>
          <w:color w:val="000000" w:themeColor="text1"/>
          <w:sz w:val="32"/>
          <w:szCs w:val="40"/>
          <w14:ligatures w14:val="none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40"/>
          <w14:ligatures w14:val="none"/>
        </w:rPr>
        <w:t>本考核实行百分制综合评分，考核总分由指标体系评分和年度述职答辩评分两部分加权构成，具体权重为：</w:t>
      </w:r>
    </w:p>
    <w:p w14:paraId="4D0509CD" w14:textId="77777777" w:rsidR="002A79AE" w:rsidRDefault="00000000">
      <w:pPr>
        <w:spacing w:after="0" w:line="560" w:lineRule="exact"/>
        <w:ind w:firstLineChars="200" w:firstLine="640"/>
        <w:jc w:val="both"/>
        <w:rPr>
          <w:rFonts w:ascii="仿宋_GB2312" w:eastAsia="仿宋_GB2312" w:hAnsi="仿宋_GB2312" w:cs="仿宋_GB2312" w:hint="eastAsia"/>
          <w:color w:val="000000" w:themeColor="text1"/>
          <w:sz w:val="32"/>
          <w:szCs w:val="40"/>
          <w14:ligatures w14:val="none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40"/>
          <w14:ligatures w14:val="none"/>
        </w:rPr>
        <w:t>《中国石油大学（北京）团委新闻宣传工作考核评价指标体系（2026年修订）》得分占比70%；</w:t>
      </w:r>
    </w:p>
    <w:p w14:paraId="5555CAA6" w14:textId="77777777" w:rsidR="002A79AE" w:rsidRDefault="00000000">
      <w:pPr>
        <w:spacing w:after="0" w:line="560" w:lineRule="exact"/>
        <w:ind w:firstLineChars="200" w:firstLine="640"/>
        <w:jc w:val="both"/>
        <w:rPr>
          <w:rFonts w:ascii="仿宋_GB2312" w:eastAsia="仿宋_GB2312" w:hAnsi="仿宋_GB2312" w:cs="仿宋_GB2312" w:hint="eastAsia"/>
          <w:color w:val="000000" w:themeColor="text1"/>
          <w:sz w:val="32"/>
          <w:szCs w:val="40"/>
          <w14:ligatures w14:val="none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40"/>
          <w14:ligatures w14:val="none"/>
        </w:rPr>
        <w:t>年度述职答辩得分占比30%。</w:t>
      </w:r>
    </w:p>
    <w:p w14:paraId="574C1F97" w14:textId="77777777" w:rsidR="002A79AE" w:rsidRDefault="00000000">
      <w:pPr>
        <w:spacing w:after="0" w:line="560" w:lineRule="exact"/>
        <w:ind w:firstLineChars="200" w:firstLine="640"/>
        <w:jc w:val="both"/>
        <w:rPr>
          <w:rFonts w:ascii="仿宋_GB2312" w:eastAsia="仿宋_GB2312" w:hAnsi="仿宋_GB2312" w:cs="仿宋_GB2312" w:hint="eastAsia"/>
          <w:color w:val="000000" w:themeColor="text1"/>
          <w:sz w:val="32"/>
          <w:szCs w:val="40"/>
          <w14:ligatures w14:val="none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40"/>
          <w14:ligatures w14:val="none"/>
        </w:rPr>
        <w:t>各部分得分按权重加权汇总后，作为新闻中心年度考核最终成绩。</w:t>
      </w:r>
    </w:p>
    <w:p w14:paraId="1E64C32B" w14:textId="77777777" w:rsidR="002A79AE" w:rsidRDefault="00000000">
      <w:pPr>
        <w:spacing w:after="0" w:line="560" w:lineRule="exact"/>
        <w:ind w:firstLineChars="200" w:firstLine="640"/>
        <w:jc w:val="both"/>
        <w:rPr>
          <w:rFonts w:ascii="黑体" w:eastAsia="黑体" w:hAnsi="黑体" w:cs="黑体" w:hint="eastAsia"/>
          <w:color w:val="000000" w:themeColor="text1"/>
          <w:sz w:val="32"/>
          <w:szCs w:val="40"/>
          <w14:ligatures w14:val="none"/>
        </w:rPr>
      </w:pPr>
      <w:r>
        <w:rPr>
          <w:rFonts w:ascii="黑体" w:eastAsia="黑体" w:hAnsi="黑体" w:cs="黑体" w:hint="eastAsia"/>
          <w:color w:val="000000" w:themeColor="text1"/>
          <w:sz w:val="32"/>
          <w:szCs w:val="40"/>
          <w14:ligatures w14:val="none"/>
        </w:rPr>
        <w:t>第六条 年度述职答辩要求</w:t>
      </w:r>
    </w:p>
    <w:p w14:paraId="1A9FFDE6" w14:textId="77777777" w:rsidR="002A79AE" w:rsidRDefault="00000000">
      <w:pPr>
        <w:spacing w:after="0" w:line="560" w:lineRule="exact"/>
        <w:ind w:firstLineChars="200" w:firstLine="640"/>
        <w:jc w:val="both"/>
        <w:rPr>
          <w:rFonts w:ascii="仿宋_GB2312" w:eastAsia="仿宋_GB2312" w:hAnsi="仿宋_GB2312" w:cs="仿宋_GB2312" w:hint="eastAsia"/>
          <w:color w:val="000000" w:themeColor="text1"/>
          <w:sz w:val="32"/>
          <w:szCs w:val="40"/>
          <w14:ligatures w14:val="none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40"/>
          <w14:ligatures w14:val="none"/>
        </w:rPr>
        <w:t>年度述职答辩是考核评价的重要环节，各院团委新闻宣传组织需围绕“追逐光、成为光、铸造光、散发光”四个必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40"/>
          <w14:ligatures w14:val="none"/>
        </w:rPr>
        <w:lastRenderedPageBreak/>
        <w:t>讲内容进行汇报，答辩总分100分，各部分占比及汇报要求如下：</w:t>
      </w:r>
    </w:p>
    <w:p w14:paraId="06DC19A7" w14:textId="77777777" w:rsidR="002A79AE" w:rsidRDefault="00000000">
      <w:pPr>
        <w:spacing w:after="0" w:line="560" w:lineRule="exact"/>
        <w:ind w:firstLineChars="200" w:firstLine="643"/>
        <w:jc w:val="both"/>
        <w:rPr>
          <w:rFonts w:ascii="仿宋_GB2312" w:eastAsia="仿宋_GB2312" w:hAnsi="仿宋_GB2312" w:cs="仿宋_GB2312" w:hint="eastAsia"/>
          <w:color w:val="000000" w:themeColor="text1"/>
          <w:sz w:val="32"/>
          <w:szCs w:val="40"/>
          <w14:ligatures w14:val="none"/>
        </w:rPr>
      </w:pP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32"/>
          <w:szCs w:val="40"/>
          <w14:ligatures w14:val="none"/>
        </w:rPr>
        <w:t>思想引领（追逐光，20分）：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40"/>
          <w14:ligatures w14:val="none"/>
        </w:rPr>
        <w:t>围绕新闻宣传思想导向，结合理论武装、典型引领等，重点介绍个人学业、体测情况，展现思想层面的提升，体现新闻宣传思想引领对个人成长的赋能，呈现个人追逐正向思想之光的过程与成效。</w:t>
      </w:r>
    </w:p>
    <w:p w14:paraId="44D0DEE1" w14:textId="77777777" w:rsidR="002A79AE" w:rsidRDefault="00000000">
      <w:pPr>
        <w:spacing w:after="0" w:line="560" w:lineRule="exact"/>
        <w:ind w:firstLineChars="200" w:firstLine="643"/>
        <w:jc w:val="both"/>
        <w:rPr>
          <w:rFonts w:ascii="仿宋_GB2312" w:eastAsia="仿宋_GB2312" w:hAnsi="仿宋_GB2312" w:cs="仿宋_GB2312" w:hint="eastAsia"/>
          <w:color w:val="000000" w:themeColor="text1"/>
          <w:sz w:val="32"/>
          <w:szCs w:val="40"/>
          <w14:ligatures w14:val="none"/>
        </w:rPr>
      </w:pP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32"/>
          <w:szCs w:val="40"/>
          <w14:ligatures w14:val="none"/>
        </w:rPr>
        <w:t>组织建设（成为光，20分）：</w:t>
      </w:r>
    </w:p>
    <w:p w14:paraId="1C0334F5" w14:textId="77777777" w:rsidR="002A79AE" w:rsidRDefault="00000000">
      <w:pPr>
        <w:spacing w:after="0" w:line="560" w:lineRule="exact"/>
        <w:ind w:firstLineChars="200" w:firstLine="640"/>
        <w:jc w:val="both"/>
        <w:rPr>
          <w:rFonts w:ascii="仿宋_GB2312" w:eastAsia="仿宋_GB2312" w:hAnsi="仿宋_GB2312" w:cs="仿宋_GB2312" w:hint="eastAsia"/>
          <w:color w:val="000000" w:themeColor="text1"/>
          <w:sz w:val="32"/>
          <w:szCs w:val="40"/>
          <w14:ligatures w14:val="none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40"/>
          <w14:ligatures w14:val="none"/>
        </w:rPr>
        <w:t>聚焦个人榜样作用，结合队伍建设相关内容，重点阐述骨干队伍综合素质提升（在学业、体测、业务能力上的突出表现），说明如何凭借自身进步成为学生榜样、发挥带动作用，展现从“追逐光”到“成为光”的蜕变。</w:t>
      </w:r>
    </w:p>
    <w:p w14:paraId="42135EF7" w14:textId="77777777" w:rsidR="002A79AE" w:rsidRDefault="00000000">
      <w:pPr>
        <w:spacing w:after="0" w:line="560" w:lineRule="exact"/>
        <w:ind w:firstLineChars="200" w:firstLine="643"/>
        <w:jc w:val="both"/>
        <w:rPr>
          <w:rFonts w:ascii="仿宋_GB2312" w:eastAsia="仿宋_GB2312" w:hAnsi="仿宋_GB2312" w:cs="仿宋_GB2312" w:hint="eastAsia"/>
          <w:color w:val="000000" w:themeColor="text1"/>
          <w:sz w:val="32"/>
          <w:szCs w:val="40"/>
          <w14:ligatures w14:val="none"/>
        </w:rPr>
      </w:pP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32"/>
          <w:szCs w:val="40"/>
          <w14:ligatures w14:val="none"/>
        </w:rPr>
        <w:t>精品项目（铸造光，20分）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40"/>
          <w14:ligatures w14:val="none"/>
        </w:rPr>
        <w:t>：聚焦团队集体效能，围绕品牌栏目、特色IP、融媒体平台等，阐述优秀个人凝聚成团队后，如何打造精品项目、培育特色品牌，展现团队运营能力，打造可复制推广的新闻宣传示范标杆。</w:t>
      </w:r>
    </w:p>
    <w:p w14:paraId="7C2EF9E7" w14:textId="77777777" w:rsidR="002A79AE" w:rsidRDefault="00000000">
      <w:pPr>
        <w:spacing w:after="0" w:line="560" w:lineRule="exact"/>
        <w:ind w:firstLineChars="200" w:firstLine="643"/>
        <w:jc w:val="both"/>
        <w:rPr>
          <w:rFonts w:ascii="仿宋_GB2312" w:eastAsia="仿宋_GB2312" w:hAnsi="仿宋_GB2312" w:cs="仿宋_GB2312" w:hint="eastAsia"/>
          <w:color w:val="000000" w:themeColor="text1"/>
          <w:sz w:val="32"/>
          <w:szCs w:val="40"/>
          <w14:ligatures w14:val="none"/>
        </w:rPr>
      </w:pP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32"/>
          <w:szCs w:val="40"/>
          <w14:ligatures w14:val="none"/>
        </w:rPr>
        <w:t>实际成效（散发光，20分）：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40"/>
          <w14:ligatures w14:val="none"/>
        </w:rPr>
        <w:t>聚焦团队辐射带动作用，全面呈现团队打造的宣传品牌、精品项目的成效，展示师生与社会反馈、媒体联动贡献，阐述宣传品牌如何辐射影响他人，彰显新闻宣传的服务价值与影响力。</w:t>
      </w:r>
    </w:p>
    <w:p w14:paraId="3135FA65" w14:textId="77777777" w:rsidR="002A79AE" w:rsidRDefault="00000000">
      <w:pPr>
        <w:spacing w:after="0" w:line="560" w:lineRule="exact"/>
        <w:ind w:firstLineChars="200" w:firstLine="643"/>
        <w:jc w:val="both"/>
        <w:rPr>
          <w:rFonts w:ascii="仿宋_GB2312" w:eastAsia="仿宋_GB2312" w:hAnsi="仿宋_GB2312" w:cs="仿宋_GB2312" w:hint="eastAsia"/>
          <w:color w:val="000000" w:themeColor="text1"/>
          <w:sz w:val="32"/>
          <w:szCs w:val="40"/>
          <w14:ligatures w14:val="none"/>
        </w:rPr>
      </w:pP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32"/>
          <w:szCs w:val="40"/>
          <w14:ligatures w14:val="none"/>
        </w:rPr>
        <w:t>存在问题及下一步规划（20分）：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40"/>
          <w14:ligatures w14:val="none"/>
        </w:rPr>
        <w:t>客观梳理新闻宣传工作现存不足，围绕问题整改、采编能力提升、品牌栏目升级、媒体联动拓展等内容，明确下一步工作方向与具体举措，推动新闻宣传工作提质增效、持续发力。</w:t>
      </w:r>
    </w:p>
    <w:p w14:paraId="7ED3C8AF" w14:textId="77777777" w:rsidR="002A79AE" w:rsidRDefault="00000000">
      <w:pPr>
        <w:spacing w:after="0" w:line="560" w:lineRule="exact"/>
        <w:ind w:firstLineChars="200" w:firstLine="640"/>
        <w:jc w:val="both"/>
        <w:rPr>
          <w:rFonts w:ascii="黑体" w:eastAsia="黑体" w:hAnsi="黑体" w:cs="黑体" w:hint="eastAsia"/>
          <w:color w:val="000000" w:themeColor="text1"/>
          <w:sz w:val="32"/>
          <w:szCs w:val="40"/>
          <w14:ligatures w14:val="none"/>
        </w:rPr>
      </w:pPr>
      <w:r>
        <w:rPr>
          <w:rFonts w:ascii="黑体" w:eastAsia="黑体" w:hAnsi="黑体" w:cs="黑体" w:hint="eastAsia"/>
          <w:color w:val="000000" w:themeColor="text1"/>
          <w:sz w:val="32"/>
          <w:szCs w:val="40"/>
          <w14:ligatures w14:val="none"/>
        </w:rPr>
        <w:t>第七条 指标体系评分实施</w:t>
      </w:r>
    </w:p>
    <w:p w14:paraId="1DC6D32B" w14:textId="77777777" w:rsidR="002A79AE" w:rsidRDefault="00000000">
      <w:pPr>
        <w:spacing w:after="0" w:line="560" w:lineRule="exact"/>
        <w:ind w:firstLineChars="200" w:firstLine="640"/>
        <w:jc w:val="both"/>
        <w:rPr>
          <w:rFonts w:ascii="仿宋_GB2312" w:eastAsia="仿宋_GB2312" w:hAnsi="仿宋_GB2312" w:cs="仿宋_GB2312" w:hint="eastAsia"/>
          <w:color w:val="000000" w:themeColor="text1"/>
          <w:sz w:val="32"/>
          <w:szCs w:val="40"/>
          <w14:ligatures w14:val="none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40"/>
          <w14:ligatures w14:val="none"/>
        </w:rPr>
        <w:lastRenderedPageBreak/>
        <w:t>校团委宣传部依据《中国石油大学（北京）团委新闻宣传工作考核评价指标体系（2026年修订）》，结合日常工作记录、材料核验、平台数据核查、师生反馈等情况开展量化评分，必要时可开展专项调研，确保评分结果真实反映各组织工作实际。</w:t>
      </w:r>
    </w:p>
    <w:p w14:paraId="6F9FDA2E" w14:textId="77777777" w:rsidR="002A79AE" w:rsidRDefault="00000000">
      <w:pPr>
        <w:spacing w:after="0" w:line="560" w:lineRule="exact"/>
        <w:ind w:firstLineChars="200" w:firstLine="640"/>
        <w:jc w:val="both"/>
        <w:rPr>
          <w:rFonts w:ascii="黑体" w:eastAsia="黑体" w:hAnsi="黑体" w:cs="黑体" w:hint="eastAsia"/>
          <w:color w:val="000000" w:themeColor="text1"/>
          <w:sz w:val="32"/>
          <w:szCs w:val="40"/>
          <w14:ligatures w14:val="none"/>
        </w:rPr>
      </w:pPr>
      <w:r>
        <w:rPr>
          <w:rFonts w:ascii="黑体" w:eastAsia="黑体" w:hAnsi="黑体" w:cs="黑体" w:hint="eastAsia"/>
          <w:color w:val="000000" w:themeColor="text1"/>
          <w:sz w:val="32"/>
          <w:szCs w:val="40"/>
          <w14:ligatures w14:val="none"/>
        </w:rPr>
        <w:t>第八条 考核结果</w:t>
      </w:r>
    </w:p>
    <w:p w14:paraId="62821470" w14:textId="77777777" w:rsidR="002A79AE" w:rsidRDefault="00000000">
      <w:pPr>
        <w:spacing w:after="0" w:line="560" w:lineRule="exact"/>
        <w:ind w:firstLineChars="200" w:firstLine="640"/>
        <w:jc w:val="both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考核评价结果分为优秀、合格、基本合格、不合格四个等次。其中，优秀等次比例原则上不超过参评单位总数的40%，合格等次比例原则上不超过参评单位总数的40%，基本合格等次比例原则上不超过参评单位总数的20%，不合格等次需根据实际情况据实评定，不得回避。</w:t>
      </w:r>
    </w:p>
    <w:p w14:paraId="33570519" w14:textId="77777777" w:rsidR="002A79AE" w:rsidRDefault="00000000">
      <w:pPr>
        <w:spacing w:after="0" w:line="560" w:lineRule="exact"/>
        <w:ind w:firstLineChars="200" w:firstLine="640"/>
        <w:jc w:val="both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考核结果作为各新闻中心评优评先的重要依据，并与社团星级评定、评优评先工作挂钩：考核结果为“优秀”的新闻中心，在社团星级评定中认定为</w:t>
      </w:r>
      <w:r>
        <w:rPr>
          <w:rFonts w:ascii="仿宋_GB2312" w:eastAsia="仿宋_GB2312" w:hAnsi="仿宋_GB2312" w:cs="仿宋_GB2312" w:hint="eastAsia"/>
          <w:sz w:val="32"/>
          <w:szCs w:val="32"/>
        </w:rPr>
        <w:t>“</w:t>
      </w:r>
      <w:r>
        <w:rPr>
          <w:rFonts w:ascii="仿宋_GB2312" w:eastAsia="仿宋_GB2312" w:hAnsi="仿宋_GB2312" w:cs="仿宋_GB2312"/>
          <w:sz w:val="32"/>
          <w:szCs w:val="32"/>
        </w:rPr>
        <w:t>五星</w:t>
      </w:r>
      <w:r>
        <w:rPr>
          <w:rFonts w:ascii="仿宋_GB2312" w:eastAsia="仿宋_GB2312" w:hAnsi="仿宋_GB2312" w:cs="仿宋_GB2312" w:hint="eastAsia"/>
          <w:sz w:val="32"/>
          <w:szCs w:val="32"/>
        </w:rPr>
        <w:t>”</w:t>
      </w:r>
      <w:r>
        <w:rPr>
          <w:rFonts w:ascii="仿宋_GB2312" w:eastAsia="仿宋_GB2312" w:hAnsi="仿宋_GB2312" w:cs="仿宋_GB2312"/>
          <w:sz w:val="32"/>
          <w:szCs w:val="32"/>
        </w:rPr>
        <w:t>社团；考核结果为“合格”的新闻中心，在社团星级评定中认定为</w:t>
      </w:r>
      <w:r>
        <w:rPr>
          <w:rFonts w:ascii="仿宋_GB2312" w:eastAsia="仿宋_GB2312" w:hAnsi="仿宋_GB2312" w:cs="仿宋_GB2312" w:hint="eastAsia"/>
          <w:sz w:val="32"/>
          <w:szCs w:val="32"/>
        </w:rPr>
        <w:t>“</w:t>
      </w:r>
      <w:r>
        <w:rPr>
          <w:rFonts w:ascii="仿宋_GB2312" w:eastAsia="仿宋_GB2312" w:hAnsi="仿宋_GB2312" w:cs="仿宋_GB2312"/>
          <w:sz w:val="32"/>
          <w:szCs w:val="32"/>
        </w:rPr>
        <w:t>四星</w:t>
      </w:r>
      <w:r>
        <w:rPr>
          <w:rFonts w:ascii="仿宋_GB2312" w:eastAsia="仿宋_GB2312" w:hAnsi="仿宋_GB2312" w:cs="仿宋_GB2312" w:hint="eastAsia"/>
          <w:sz w:val="32"/>
          <w:szCs w:val="32"/>
        </w:rPr>
        <w:t>”</w:t>
      </w:r>
      <w:r>
        <w:rPr>
          <w:rFonts w:ascii="仿宋_GB2312" w:eastAsia="仿宋_GB2312" w:hAnsi="仿宋_GB2312" w:cs="仿宋_GB2312"/>
          <w:sz w:val="32"/>
          <w:szCs w:val="32"/>
        </w:rPr>
        <w:t>社团；考核结果为“基本合格”的新闻中心，在社团星级评定中认定为</w:t>
      </w:r>
      <w:r>
        <w:rPr>
          <w:rFonts w:ascii="仿宋_GB2312" w:eastAsia="仿宋_GB2312" w:hAnsi="仿宋_GB2312" w:cs="仿宋_GB2312" w:hint="eastAsia"/>
          <w:sz w:val="32"/>
          <w:szCs w:val="32"/>
        </w:rPr>
        <w:t>“</w:t>
      </w:r>
      <w:r>
        <w:rPr>
          <w:rFonts w:ascii="仿宋_GB2312" w:eastAsia="仿宋_GB2312" w:hAnsi="仿宋_GB2312" w:cs="仿宋_GB2312"/>
          <w:sz w:val="32"/>
          <w:szCs w:val="32"/>
        </w:rPr>
        <w:t>三星</w:t>
      </w:r>
      <w:r>
        <w:rPr>
          <w:rFonts w:ascii="仿宋_GB2312" w:eastAsia="仿宋_GB2312" w:hAnsi="仿宋_GB2312" w:cs="仿宋_GB2312" w:hint="eastAsia"/>
          <w:sz w:val="32"/>
          <w:szCs w:val="32"/>
        </w:rPr>
        <w:t>”</w:t>
      </w:r>
      <w:r>
        <w:rPr>
          <w:rFonts w:ascii="仿宋_GB2312" w:eastAsia="仿宋_GB2312" w:hAnsi="仿宋_GB2312" w:cs="仿宋_GB2312"/>
          <w:sz w:val="32"/>
          <w:szCs w:val="32"/>
        </w:rPr>
        <w:t>社团；考核结果不合格的新闻中心，取消当年各类评优评先资格，限期整改。</w:t>
      </w:r>
    </w:p>
    <w:p w14:paraId="2C6B65F4" w14:textId="77777777" w:rsidR="002A79AE" w:rsidRDefault="002A79AE">
      <w:pPr>
        <w:spacing w:after="0" w:line="560" w:lineRule="exact"/>
        <w:jc w:val="both"/>
        <w:rPr>
          <w:rFonts w:ascii="仿宋_GB2312" w:eastAsia="仿宋_GB2312" w:hAnsi="仿宋_GB2312" w:cs="仿宋_GB2312" w:hint="eastAsia"/>
          <w:color w:val="000000" w:themeColor="text1"/>
          <w:sz w:val="32"/>
          <w:szCs w:val="40"/>
          <w14:ligatures w14:val="none"/>
        </w:rPr>
      </w:pPr>
    </w:p>
    <w:p w14:paraId="2F32FB43" w14:textId="77777777" w:rsidR="002A79AE" w:rsidRDefault="002A79AE">
      <w:pPr>
        <w:spacing w:after="0" w:line="560" w:lineRule="exact"/>
        <w:ind w:firstLineChars="200" w:firstLine="640"/>
        <w:jc w:val="both"/>
        <w:rPr>
          <w:rFonts w:ascii="仿宋_GB2312" w:eastAsia="仿宋_GB2312" w:hAnsi="仿宋_GB2312" w:cs="仿宋_GB2312" w:hint="eastAsia"/>
          <w:color w:val="000000" w:themeColor="text1"/>
          <w:sz w:val="32"/>
          <w:szCs w:val="40"/>
          <w14:ligatures w14:val="none"/>
        </w:rPr>
      </w:pPr>
    </w:p>
    <w:p w14:paraId="51DE06F7" w14:textId="77777777" w:rsidR="002A79AE" w:rsidRDefault="002A79AE">
      <w:pPr>
        <w:rPr>
          <w:rFonts w:ascii="仿宋_GB2312" w:eastAsia="仿宋_GB2312" w:hint="eastAsia"/>
        </w:rPr>
      </w:pPr>
    </w:p>
    <w:sectPr w:rsidR="002A79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58C845" w14:textId="77777777" w:rsidR="008B2D16" w:rsidRDefault="008B2D16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14:paraId="3058CDA4" w14:textId="77777777" w:rsidR="008B2D16" w:rsidRDefault="008B2D16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C0227E" w14:textId="77777777" w:rsidR="008B2D16" w:rsidRDefault="008B2D16">
      <w:pPr>
        <w:spacing w:after="0"/>
        <w:rPr>
          <w:rFonts w:hint="eastAsia"/>
        </w:rPr>
      </w:pPr>
      <w:r>
        <w:separator/>
      </w:r>
    </w:p>
  </w:footnote>
  <w:footnote w:type="continuationSeparator" w:id="0">
    <w:p w14:paraId="5D83732B" w14:textId="77777777" w:rsidR="008B2D16" w:rsidRDefault="008B2D16">
      <w:pPr>
        <w:spacing w:after="0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24DB"/>
    <w:rsid w:val="00050854"/>
    <w:rsid w:val="002324DB"/>
    <w:rsid w:val="002A79AE"/>
    <w:rsid w:val="00323CFE"/>
    <w:rsid w:val="00677229"/>
    <w:rsid w:val="008B2D16"/>
    <w:rsid w:val="00BF429B"/>
    <w:rsid w:val="00E437F4"/>
    <w:rsid w:val="00FD2833"/>
    <w:rsid w:val="0FCC1FB6"/>
    <w:rsid w:val="1F8738FE"/>
    <w:rsid w:val="30E738F1"/>
    <w:rsid w:val="374614B4"/>
    <w:rsid w:val="39F2758E"/>
    <w:rsid w:val="482D3E87"/>
    <w:rsid w:val="4CC71E93"/>
    <w:rsid w:val="4D5F4AE3"/>
    <w:rsid w:val="51202322"/>
    <w:rsid w:val="70DA42FD"/>
    <w:rsid w:val="75C47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E426AA"/>
  <w15:docId w15:val="{552D2482-E530-4968-BBA6-AB30F3108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after="160" w:line="278" w:lineRule="auto"/>
    </w:pPr>
    <w:rPr>
      <w:rFonts w:asciiTheme="minorHAnsi" w:eastAsiaTheme="minorEastAsia" w:hAnsiTheme="minorHAnsi" w:cstheme="minorBidi"/>
      <w:kern w:val="2"/>
      <w:sz w:val="22"/>
      <w:szCs w:val="24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p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Title"/>
    <w:basedOn w:val="a"/>
    <w:next w:val="a"/>
    <w:link w:val="a6"/>
    <w:uiPriority w:val="10"/>
    <w:qFormat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a6">
    <w:name w:val="标题 字符"/>
    <w:basedOn w:val="a0"/>
    <w:link w:val="a5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副标题 字符"/>
    <w:basedOn w:val="a0"/>
    <w:link w:val="a3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qFormat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明显引用 字符"/>
    <w:basedOn w:val="a0"/>
    <w:link w:val="aa"/>
    <w:uiPriority w:val="30"/>
    <w:qFormat/>
    <w:rPr>
      <w:i/>
      <w:iCs/>
      <w:color w:val="0F4761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925</Words>
  <Characters>935</Characters>
  <Application>Microsoft Office Word</Application>
  <DocSecurity>0</DocSecurity>
  <Lines>49</Lines>
  <Paragraphs>35</Paragraphs>
  <ScaleCrop>false</ScaleCrop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 Dong</dc:creator>
  <cp:lastModifiedBy>驰翀 徐</cp:lastModifiedBy>
  <cp:revision>2</cp:revision>
  <dcterms:created xsi:type="dcterms:W3CDTF">2026-03-26T09:52:00Z</dcterms:created>
  <dcterms:modified xsi:type="dcterms:W3CDTF">2026-06-17T19:38:00Z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eyJoZGlkIjoiNmY0OTE5N2Q4NzlkZDk4MWY5M2ZiZWMyYTZiMjhjZTYiLCJ1c2VySWQiOiIyMjAxNjExNTQifQ==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F82683215D6544169E5AC4A12E87309E_12</vt:lpwstr>
  </property>
</Properties>
</file>