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4F" w:rsidRPr="001054A8" w:rsidRDefault="0005694F" w:rsidP="0005694F">
      <w:pPr>
        <w:spacing w:afterLines="100"/>
        <w:jc w:val="center"/>
        <w:outlineLvl w:val="0"/>
        <w:rPr>
          <w:rFonts w:ascii="宋体" w:hAnsi="宋体" w:hint="eastAsia"/>
          <w:b/>
          <w:color w:val="000000"/>
          <w:sz w:val="32"/>
          <w:szCs w:val="32"/>
        </w:rPr>
      </w:pPr>
      <w:bookmarkStart w:id="0" w:name="_Toc357783290"/>
      <w:bookmarkStart w:id="1" w:name="_Toc358447626"/>
      <w:r w:rsidRPr="001054A8">
        <w:rPr>
          <w:rFonts w:ascii="宋体" w:hAnsi="宋体" w:hint="eastAsia"/>
          <w:b/>
          <w:color w:val="000000"/>
          <w:sz w:val="32"/>
          <w:szCs w:val="32"/>
        </w:rPr>
        <w:t>北京中石大新元投资有限公司固定资产报废管理办法</w:t>
      </w:r>
      <w:bookmarkEnd w:id="0"/>
      <w:bookmarkEnd w:id="1"/>
    </w:p>
    <w:p w:rsidR="0005694F" w:rsidRPr="00A165A5" w:rsidRDefault="0005694F" w:rsidP="0005694F">
      <w:pPr>
        <w:ind w:firstLineChars="147" w:firstLine="412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为加强对公司固定资产管理，规范设备、家具固定资产报废处置行为，特制定本办法。</w:t>
      </w:r>
    </w:p>
    <w:p w:rsidR="0005694F" w:rsidRPr="00A165A5" w:rsidRDefault="0005694F" w:rsidP="0005694F">
      <w:pPr>
        <w:rPr>
          <w:rFonts w:ascii="宋体" w:hAnsi="宋体" w:hint="eastAsia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一、固定资产报废界定</w:t>
      </w:r>
    </w:p>
    <w:p w:rsidR="0005694F" w:rsidRPr="00A165A5" w:rsidRDefault="0005694F" w:rsidP="0005694F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 xml:space="preserve">　　本办法所称固定资产报废，是指公司所属各部门占用、使用的在</w:t>
      </w:r>
      <w:proofErr w:type="gramStart"/>
      <w:r w:rsidRPr="00A165A5">
        <w:rPr>
          <w:rFonts w:ascii="宋体" w:hAnsi="宋体" w:hint="eastAsia"/>
          <w:sz w:val="28"/>
          <w:szCs w:val="28"/>
        </w:rPr>
        <w:t>学校国</w:t>
      </w:r>
      <w:proofErr w:type="gramEnd"/>
      <w:r w:rsidRPr="00A165A5">
        <w:rPr>
          <w:rFonts w:ascii="宋体" w:hAnsi="宋体" w:hint="eastAsia"/>
          <w:sz w:val="28"/>
          <w:szCs w:val="28"/>
        </w:rPr>
        <w:t>资处或在公司固定资产台账上登记的资产属性为设备、家具（</w:t>
      </w:r>
      <w:r w:rsidRPr="00A165A5">
        <w:rPr>
          <w:rFonts w:ascii="宋体" w:hAnsi="宋体"/>
          <w:sz w:val="28"/>
          <w:szCs w:val="28"/>
        </w:rPr>
        <w:t>单位价值在500元</w:t>
      </w:r>
      <w:r w:rsidRPr="00A165A5">
        <w:rPr>
          <w:rFonts w:ascii="宋体" w:hAnsi="宋体" w:hint="eastAsia"/>
          <w:sz w:val="28"/>
          <w:szCs w:val="28"/>
        </w:rPr>
        <w:t>及</w:t>
      </w:r>
      <w:r w:rsidRPr="00A165A5">
        <w:rPr>
          <w:rFonts w:ascii="宋体" w:hAnsi="宋体"/>
          <w:sz w:val="28"/>
          <w:szCs w:val="28"/>
        </w:rPr>
        <w:t>以上</w:t>
      </w:r>
      <w:r w:rsidRPr="00A165A5">
        <w:rPr>
          <w:rFonts w:ascii="宋体" w:hAnsi="宋体" w:hint="eastAsia"/>
          <w:sz w:val="28"/>
          <w:szCs w:val="28"/>
        </w:rPr>
        <w:t>）的固定资产的注销行为。</w:t>
      </w:r>
    </w:p>
    <w:p w:rsidR="0005694F" w:rsidRPr="00A165A5" w:rsidRDefault="0005694F" w:rsidP="0005694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由于各种原因丧失原有功能，无法继续使用，或技术落后，不符合国家技术标准或已到折旧年限，维修费过高无修复价值等，需要进行报废的设备和家具，均可办理报废手续。</w:t>
      </w:r>
    </w:p>
    <w:p w:rsidR="0005694F" w:rsidRPr="00A165A5" w:rsidRDefault="0005694F" w:rsidP="0005694F">
      <w:pPr>
        <w:rPr>
          <w:rFonts w:ascii="宋体" w:hAnsi="宋体" w:hint="eastAsia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二、报废处置流程</w:t>
      </w:r>
    </w:p>
    <w:p w:rsidR="0005694F" w:rsidRPr="00A165A5" w:rsidRDefault="0005694F" w:rsidP="0005694F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(</w:t>
      </w:r>
      <w:proofErr w:type="gramStart"/>
      <w:r w:rsidRPr="00A165A5">
        <w:rPr>
          <w:rFonts w:ascii="宋体" w:hAnsi="宋体" w:hint="eastAsia"/>
          <w:sz w:val="28"/>
          <w:szCs w:val="28"/>
        </w:rPr>
        <w:t>一</w:t>
      </w:r>
      <w:proofErr w:type="gramEnd"/>
      <w:r w:rsidRPr="00A165A5">
        <w:rPr>
          <w:rFonts w:ascii="宋体" w:hAnsi="宋体" w:hint="eastAsia"/>
          <w:sz w:val="28"/>
          <w:szCs w:val="28"/>
        </w:rPr>
        <w:t>)、学校固定资产报废</w:t>
      </w:r>
    </w:p>
    <w:p w:rsidR="0005694F" w:rsidRPr="00A165A5" w:rsidRDefault="0005694F" w:rsidP="0005694F">
      <w:pPr>
        <w:ind w:firstLine="57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在学校国有资产管理处网站下载专区下载《设备资产报废申请单》、《家具资产报废申请单》。</w:t>
      </w:r>
    </w:p>
    <w:p w:rsidR="0005694F" w:rsidRPr="00A165A5" w:rsidRDefault="0005694F" w:rsidP="0005694F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(二)、总公司自购固定资产报废</w:t>
      </w:r>
    </w:p>
    <w:p w:rsidR="0005694F" w:rsidRPr="00A165A5" w:rsidRDefault="0005694F" w:rsidP="0005694F">
      <w:pPr>
        <w:ind w:firstLine="57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在校产网站下载中心下载《</w:t>
      </w:r>
      <w:r w:rsidRPr="005D4C4B">
        <w:rPr>
          <w:rFonts w:ascii="宋体" w:hAnsi="宋体" w:hint="eastAsia"/>
          <w:sz w:val="28"/>
          <w:szCs w:val="28"/>
        </w:rPr>
        <w:t>资产设备报废申请表</w:t>
      </w:r>
      <w:r w:rsidRPr="00A165A5">
        <w:rPr>
          <w:rFonts w:ascii="宋体" w:hAnsi="宋体" w:hint="eastAsia"/>
          <w:sz w:val="28"/>
          <w:szCs w:val="28"/>
        </w:rPr>
        <w:t>》、《办公家具报废申请表》。</w:t>
      </w:r>
    </w:p>
    <w:p w:rsidR="0005694F" w:rsidRPr="00A165A5" w:rsidRDefault="0005694F" w:rsidP="0005694F">
      <w:pPr>
        <w:ind w:firstLine="57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固定资产使用部门提出报废申请，填写《</w:t>
      </w:r>
      <w:r w:rsidRPr="00DC14EE">
        <w:rPr>
          <w:rFonts w:ascii="宋体" w:hAnsi="宋体" w:hint="eastAsia"/>
          <w:sz w:val="28"/>
          <w:szCs w:val="28"/>
        </w:rPr>
        <w:t>资产</w:t>
      </w:r>
      <w:r w:rsidRPr="00A165A5">
        <w:rPr>
          <w:rFonts w:ascii="宋体" w:hAnsi="宋体" w:hint="eastAsia"/>
          <w:sz w:val="28"/>
          <w:szCs w:val="28"/>
        </w:rPr>
        <w:t>设备报废申请表》、《办公家具报废申请表》。（一式三份）部门经理审批报送；融资财务部审批、总经理审批、企业管理部审批。(企业管理部归档一份，融资财务部归档一份，本部门一份)</w:t>
      </w:r>
    </w:p>
    <w:p w:rsidR="0005694F" w:rsidRPr="00A165A5" w:rsidRDefault="0005694F" w:rsidP="0005694F">
      <w:pPr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 xml:space="preserve">　 申请报废的办公设备和家具应交还企业管理部统一做报废处理，</w:t>
      </w:r>
      <w:r w:rsidRPr="00A165A5">
        <w:rPr>
          <w:rFonts w:ascii="宋体" w:hAnsi="宋体" w:hint="eastAsia"/>
          <w:sz w:val="28"/>
          <w:szCs w:val="28"/>
        </w:rPr>
        <w:lastRenderedPageBreak/>
        <w:t>任何部门或个人无权自行处理。为保证固定资产管理的正常秩序，要求交还报废办公设</w:t>
      </w:r>
      <w:r w:rsidRPr="000A5A8A">
        <w:rPr>
          <w:rFonts w:ascii="宋体" w:hAnsi="宋体" w:hint="eastAsia"/>
          <w:sz w:val="28"/>
          <w:szCs w:val="28"/>
        </w:rPr>
        <w:t>备和家具应完整，不得随意拆卸与设备相关的配套设施及零部件。报废的设备</w:t>
      </w:r>
      <w:r w:rsidRPr="00A165A5">
        <w:rPr>
          <w:rFonts w:ascii="宋体" w:hAnsi="宋体" w:hint="eastAsia"/>
          <w:sz w:val="28"/>
          <w:szCs w:val="28"/>
        </w:rPr>
        <w:t>和家具原则上不售卖给公司职工。</w:t>
      </w:r>
    </w:p>
    <w:p w:rsidR="0005694F" w:rsidRPr="000A5A8A" w:rsidRDefault="0005694F" w:rsidP="0005694F">
      <w:pPr>
        <w:rPr>
          <w:rFonts w:ascii="宋体" w:hAnsi="宋体" w:hint="eastAsia"/>
          <w:sz w:val="28"/>
          <w:szCs w:val="28"/>
        </w:rPr>
      </w:pPr>
      <w:r w:rsidRPr="000A5A8A">
        <w:rPr>
          <w:rFonts w:ascii="宋体" w:hAnsi="宋体" w:hint="eastAsia"/>
          <w:sz w:val="28"/>
          <w:szCs w:val="28"/>
        </w:rPr>
        <w:t>(三)、报废流程</w:t>
      </w:r>
    </w:p>
    <w:p w:rsidR="0005694F" w:rsidRPr="000A5A8A" w:rsidRDefault="0005694F" w:rsidP="0005694F">
      <w:pPr>
        <w:ind w:firstLine="570"/>
        <w:rPr>
          <w:rFonts w:ascii="宋体" w:hAnsi="宋体" w:hint="eastAsia"/>
          <w:sz w:val="28"/>
          <w:szCs w:val="28"/>
        </w:rPr>
      </w:pPr>
      <w:r w:rsidRPr="000A5A8A">
        <w:rPr>
          <w:rFonts w:ascii="宋体" w:hAnsi="宋体" w:hint="eastAsia"/>
          <w:sz w:val="28"/>
          <w:szCs w:val="28"/>
        </w:rPr>
        <w:t>1、学校固定资产报废，上报学校国有资产管理处《设备资产报废申请单》、《家具资产报废申请单》，学校国有资产管理处收回报废资产，领取报废资产回执单归档。</w:t>
      </w:r>
    </w:p>
    <w:p w:rsidR="0005694F" w:rsidRPr="000A5A8A" w:rsidRDefault="0005694F" w:rsidP="0005694F">
      <w:pPr>
        <w:ind w:firstLine="570"/>
        <w:rPr>
          <w:rFonts w:ascii="宋体" w:hAnsi="宋体" w:hint="eastAsia"/>
          <w:sz w:val="28"/>
          <w:szCs w:val="28"/>
        </w:rPr>
      </w:pPr>
      <w:r w:rsidRPr="000A5A8A">
        <w:rPr>
          <w:rFonts w:ascii="宋体" w:hAnsi="宋体" w:hint="eastAsia"/>
          <w:sz w:val="28"/>
          <w:szCs w:val="28"/>
        </w:rPr>
        <w:t>2、总公司自购固定资产报废，上报企业管理部《资产设备报废申请表》、《办公家具报废申请表》，总公司自行处置，报废资产残值收入上缴融资财务部统一管理。</w:t>
      </w:r>
    </w:p>
    <w:p w:rsidR="0005694F" w:rsidRPr="00A165A5" w:rsidRDefault="0005694F" w:rsidP="0005694F">
      <w:pPr>
        <w:rPr>
          <w:rFonts w:ascii="宋体" w:hAnsi="宋体" w:hint="eastAsia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三、报废资产销账管理</w:t>
      </w:r>
    </w:p>
    <w:p w:rsidR="0005694F" w:rsidRPr="00A165A5" w:rsidRDefault="0005694F" w:rsidP="0005694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设备和家具报废完成，企业管理部依据《</w:t>
      </w:r>
      <w:r w:rsidRPr="00A165A5">
        <w:rPr>
          <w:rFonts w:ascii="宋体" w:hAnsi="宋体" w:hint="eastAsia"/>
          <w:sz w:val="28"/>
        </w:rPr>
        <w:t>资产</w:t>
      </w:r>
      <w:r w:rsidRPr="00A165A5">
        <w:rPr>
          <w:rFonts w:ascii="宋体" w:hAnsi="宋体" w:hint="eastAsia"/>
          <w:sz w:val="28"/>
          <w:szCs w:val="28"/>
        </w:rPr>
        <w:t>设备报废申请表》、《办公家具报废申请表》进行固定资产</w:t>
      </w:r>
      <w:proofErr w:type="gramStart"/>
      <w:r w:rsidRPr="00A165A5">
        <w:rPr>
          <w:rFonts w:ascii="宋体" w:hAnsi="宋体" w:hint="eastAsia"/>
          <w:sz w:val="28"/>
          <w:szCs w:val="28"/>
        </w:rPr>
        <w:t>实物台</w:t>
      </w:r>
      <w:proofErr w:type="gramEnd"/>
      <w:r w:rsidRPr="00A165A5">
        <w:rPr>
          <w:rFonts w:ascii="宋体" w:hAnsi="宋体" w:hint="eastAsia"/>
          <w:sz w:val="28"/>
          <w:szCs w:val="28"/>
        </w:rPr>
        <w:t>账销账处理。</w:t>
      </w:r>
    </w:p>
    <w:p w:rsidR="0005694F" w:rsidRPr="00A165A5" w:rsidRDefault="0005694F" w:rsidP="0005694F">
      <w:pPr>
        <w:rPr>
          <w:rFonts w:ascii="宋体" w:hAnsi="宋体" w:hint="eastAsia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四、其他</w:t>
      </w:r>
    </w:p>
    <w:p w:rsidR="0005694F" w:rsidRPr="00A165A5" w:rsidRDefault="0005694F" w:rsidP="0005694F">
      <w:pPr>
        <w:ind w:firstLine="420"/>
        <w:rPr>
          <w:rFonts w:ascii="宋体" w:hAnsi="宋体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本办法自发布之日起执行。</w:t>
      </w:r>
    </w:p>
    <w:p w:rsidR="0005694F" w:rsidRPr="00A165A5" w:rsidRDefault="0005694F" w:rsidP="0005694F">
      <w:pPr>
        <w:rPr>
          <w:rFonts w:ascii="宋体" w:hAnsi="宋体"/>
          <w:sz w:val="28"/>
          <w:szCs w:val="28"/>
        </w:rPr>
      </w:pPr>
    </w:p>
    <w:p w:rsidR="0005694F" w:rsidRPr="00A165A5" w:rsidRDefault="0005694F" w:rsidP="0005694F">
      <w:pPr>
        <w:ind w:firstLineChars="1490" w:firstLine="4172"/>
        <w:rPr>
          <w:rFonts w:ascii="宋体" w:hAnsi="宋体" w:hint="eastAsia"/>
          <w:color w:val="000000"/>
          <w:sz w:val="28"/>
          <w:szCs w:val="28"/>
        </w:rPr>
      </w:pPr>
    </w:p>
    <w:p w:rsidR="0005694F" w:rsidRPr="00A165A5" w:rsidRDefault="0005694F" w:rsidP="0005694F">
      <w:pPr>
        <w:ind w:firstLineChars="1490" w:firstLine="4172"/>
        <w:rPr>
          <w:rFonts w:ascii="宋体" w:hAnsi="宋体" w:hint="eastAsia"/>
          <w:color w:val="000000"/>
          <w:sz w:val="28"/>
          <w:szCs w:val="28"/>
        </w:rPr>
      </w:pPr>
    </w:p>
    <w:p w:rsidR="0005694F" w:rsidRPr="00A165A5" w:rsidRDefault="0005694F" w:rsidP="0005694F">
      <w:pPr>
        <w:ind w:firstLineChars="1490" w:firstLine="4172"/>
        <w:jc w:val="right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北京中石大新元投资有限公司</w:t>
      </w:r>
    </w:p>
    <w:p w:rsidR="00D022F0" w:rsidRPr="0005694F" w:rsidRDefault="0005694F" w:rsidP="0005694F">
      <w:pPr>
        <w:ind w:right="420" w:firstLineChars="1650" w:firstLine="4620"/>
        <w:jc w:val="right"/>
        <w:rPr>
          <w:rFonts w:ascii="宋体" w:hAnsi="宋体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〇</w:t>
      </w:r>
      <w:r w:rsidRPr="00A165A5">
        <w:rPr>
          <w:rFonts w:ascii="宋体" w:hAnsi="宋体" w:hint="eastAsia"/>
          <w:sz w:val="28"/>
          <w:szCs w:val="28"/>
        </w:rPr>
        <w:t>一三年四月十二日</w:t>
      </w:r>
    </w:p>
    <w:sectPr w:rsidR="00D022F0" w:rsidRPr="0005694F" w:rsidSect="00D0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94F"/>
    <w:rsid w:val="0005694F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Lenovo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2013-06-13T02:31:00Z</dcterms:created>
  <dcterms:modified xsi:type="dcterms:W3CDTF">2013-06-13T02:32:00Z</dcterms:modified>
</cp:coreProperties>
</file>